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ind w:left="7080"/>
        <w:rPr>
          <w:rFonts w:ascii="Verdana" w:hAnsi="Verdana"/>
          <w:highlight w:val="yellow"/>
        </w:rPr>
      </w:pPr>
      <w:bookmarkStart w:id="0" w:name="_GoBack"/>
      <w:bookmarkEnd w:id="0"/>
    </w:p>
    <w:p>
      <w:pPr>
        <w:ind w:left="7080"/>
        <w:rPr>
          <w:rFonts w:ascii="Verdana" w:hAnsi="Verdana"/>
          <w:highlight w:val="yellow"/>
        </w:rPr>
      </w:pPr>
    </w:p>
    <w:p>
      <w:pPr>
        <w:ind w:left="7080"/>
        <w:rPr>
          <w:rFonts w:ascii="Verdana" w:hAnsi="Verdana"/>
          <w:highlight w:val="yellow"/>
        </w:rPr>
      </w:pPr>
    </w:p>
    <w:p>
      <w:pPr>
        <w:ind w:left="5664" w:firstLine="708"/>
        <w:rPr>
          <w:rFonts w:ascii="Verdana" w:hAnsi="Verdana"/>
        </w:rPr>
      </w:pPr>
      <w:r>
        <w:rPr>
          <w:rFonts w:ascii="Verdana" w:hAnsi="Verdana"/>
        </w:rPr>
        <w:t>DATE : le 12/11/2020</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 xml:space="preserve">PREMIER APPEL </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 xml:space="preserve">A CANDIDATURES A UNE FONCTION DE DIRECTEUR/TRICE </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 xml:space="preserve">DANS UNE ECOLE </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 xml:space="preserve">FONDAMENTALE </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ORDINAIRE</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w:t>
      </w:r>
    </w:p>
    <w:p>
      <w:pPr>
        <w:pBdr>
          <w:top w:val="single" w:sz="4" w:space="1" w:color="000000"/>
          <w:left w:val="single" w:sz="4" w:space="4" w:color="000000"/>
          <w:bottom w:val="single" w:sz="4" w:space="1" w:color="000000"/>
          <w:right w:val="single" w:sz="4" w:space="4" w:color="000000"/>
        </w:pBdr>
        <w:jc w:val="center"/>
        <w:rPr>
          <w:rFonts w:ascii="Verdana" w:hAnsi="Verdana"/>
          <w:b/>
        </w:rPr>
      </w:pPr>
      <w:r>
        <w:rPr>
          <w:rFonts w:ascii="Verdana" w:hAnsi="Verdana"/>
          <w:b/>
        </w:rPr>
        <w:t>ADMISSION AU STAGE</w:t>
      </w:r>
    </w:p>
    <w:p>
      <w:pPr>
        <w:pBdr>
          <w:top w:val="single" w:sz="4" w:space="1" w:color="000000"/>
          <w:left w:val="single" w:sz="4" w:space="4" w:color="000000"/>
          <w:bottom w:val="single" w:sz="4" w:space="1" w:color="000000"/>
          <w:right w:val="single" w:sz="4" w:space="4" w:color="000000"/>
        </w:pBdr>
        <w:rPr>
          <w:rFonts w:ascii="Verdana" w:hAnsi="Verdana"/>
          <w:u w:val="single"/>
        </w:rPr>
      </w:pPr>
      <w:r>
        <w:rPr>
          <w:rFonts w:ascii="Verdana" w:hAnsi="Verdana"/>
          <w:u w:val="single"/>
        </w:rPr>
        <w:t>Coordonnées du P.O.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Nom : Wallonie-Bruxelles Enseignement (WBE)</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Adresse : Boulevard du Jardin Botanique 20-22, 1000 Bruxelles</w:t>
      </w:r>
    </w:p>
    <w:p>
      <w:pPr>
        <w:pBdr>
          <w:top w:val="single" w:sz="4" w:space="1" w:color="000000"/>
          <w:left w:val="single" w:sz="4" w:space="4" w:color="000000"/>
          <w:bottom w:val="single" w:sz="4" w:space="1" w:color="000000"/>
          <w:right w:val="single" w:sz="4" w:space="4" w:color="000000"/>
        </w:pBdr>
      </w:pPr>
      <w:r>
        <w:rPr>
          <w:rFonts w:ascii="Verdana" w:hAnsi="Verdana"/>
        </w:rPr>
        <w:t xml:space="preserve">Adresse électronique : </w:t>
      </w:r>
      <w:hyperlink r:id="rId9">
        <w:r>
          <w:rPr>
            <w:rStyle w:val="LienInternet"/>
            <w:rFonts w:ascii="Verdana" w:hAnsi="Verdana"/>
          </w:rPr>
          <w:t>selection.promotion(at)w-b-e.be</w:t>
        </w:r>
      </w:hyperlink>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Site web : https://www.w-b-e.be/</w:t>
      </w:r>
    </w:p>
    <w:p>
      <w:pPr>
        <w:pBdr>
          <w:top w:val="single" w:sz="4" w:space="1" w:color="000000"/>
          <w:left w:val="single" w:sz="4" w:space="4" w:color="000000"/>
          <w:bottom w:val="single" w:sz="4" w:space="1" w:color="000000"/>
          <w:right w:val="single" w:sz="4" w:space="4" w:color="000000"/>
        </w:pBdr>
        <w:rPr>
          <w:rFonts w:ascii="Verdana" w:hAnsi="Verdana"/>
          <w:u w:val="single"/>
        </w:rPr>
      </w:pPr>
      <w:r>
        <w:rPr>
          <w:rFonts w:ascii="Verdana" w:hAnsi="Verdana"/>
          <w:u w:val="single"/>
        </w:rPr>
        <w:t>Coordonnées de l'école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Nom : Athénée Royal Leonardo Da Vinci – Ecole fondamentale – Implantation des Goujons</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Adresse :</w:t>
      </w:r>
      <w:r>
        <w:rPr>
          <w:rStyle w:val="CommentaireCar"/>
          <w:rFonts w:eastAsiaTheme="minorHAnsi"/>
        </w:rPr>
        <w:t xml:space="preserve"> </w:t>
      </w:r>
      <w:r>
        <w:rPr>
          <w:rFonts w:ascii="Verdana" w:hAnsi="Verdana"/>
        </w:rPr>
        <w:t>Rue des Goujons 15 -  1070 Anderlecht</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Site web :</w:t>
      </w:r>
      <w:r>
        <w:t xml:space="preserve"> </w:t>
      </w:r>
      <w:hyperlink r:id="rId10" w:history="1">
        <w:r>
          <w:rPr>
            <w:rStyle w:val="Lienhypertexte"/>
            <w:rFonts w:ascii="Verdana" w:hAnsi="Verdana"/>
          </w:rPr>
          <w:t>https://arldv.be/</w:t>
        </w:r>
      </w:hyperlink>
      <w:r>
        <w:rPr>
          <w:rFonts w:ascii="Verdana" w:hAnsi="Verdana"/>
        </w:rPr>
        <w:t xml:space="preserve">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b/>
        </w:rPr>
        <w:t>Date présumée d’entrée en fonction</w:t>
      </w:r>
      <w:r>
        <w:rPr>
          <w:rFonts w:ascii="Verdana" w:hAnsi="Verdana"/>
        </w:rPr>
        <w:t> : 1</w:t>
      </w:r>
      <w:r>
        <w:rPr>
          <w:rFonts w:ascii="Verdana" w:hAnsi="Verdana"/>
          <w:vertAlign w:val="superscript"/>
        </w:rPr>
        <w:t>er</w:t>
      </w:r>
      <w:r>
        <w:rPr>
          <w:rFonts w:ascii="Verdana" w:hAnsi="Verdana"/>
        </w:rPr>
        <w:t xml:space="preserve"> février 2021</w:t>
      </w:r>
    </w:p>
    <w:p>
      <w:pPr>
        <w:rPr>
          <w:rFonts w:ascii="Verdana" w:hAnsi="Verdana"/>
        </w:rPr>
      </w:pPr>
    </w:p>
    <w:p>
      <w:pPr>
        <w:rPr>
          <w:rFonts w:ascii="Verdana" w:hAnsi="Verdana"/>
        </w:rPr>
      </w:pPr>
    </w:p>
    <w:p>
      <w:pPr>
        <w:rPr>
          <w:rFonts w:ascii="Verdana" w:hAnsi="Verdana"/>
        </w:rPr>
      </w:pPr>
    </w:p>
    <w:p>
      <w:pPr>
        <w:rPr>
          <w:rFonts w:ascii="Verdana" w:hAnsi="Verdana"/>
        </w:rPr>
      </w:pPr>
    </w:p>
    <w:p>
      <w:pPr>
        <w:rPr>
          <w:rFonts w:ascii="Verdana" w:hAnsi="Verdana"/>
        </w:rPr>
      </w:pPr>
    </w:p>
    <w:p>
      <w:pPr>
        <w:rPr>
          <w:rFonts w:ascii="Verdana" w:hAnsi="Verdana"/>
        </w:rPr>
      </w:pP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b/>
          <w:u w:val="single"/>
        </w:rPr>
        <w:lastRenderedPageBreak/>
        <w:t>Caractéristiques de l’école</w:t>
      </w:r>
      <w:r>
        <w:rPr>
          <w:rFonts w:ascii="Verdana" w:hAnsi="Verdana"/>
        </w:rPr>
        <w:t xml:space="preserve"> : </w:t>
      </w:r>
    </w:p>
    <w:p>
      <w:pPr>
        <w:pBdr>
          <w:top w:val="single" w:sz="4" w:space="1" w:color="000000"/>
          <w:left w:val="single" w:sz="4" w:space="4" w:color="000000"/>
          <w:bottom w:val="single" w:sz="4" w:space="1" w:color="000000"/>
          <w:right w:val="single" w:sz="4" w:space="4" w:color="000000"/>
        </w:pBdr>
        <w:jc w:val="both"/>
      </w:pPr>
      <w:r>
        <w:t xml:space="preserve">L’école fondamentale annexée à l’Athénée Royal Leonardo Da Vinci (ARLDV) est composée de deux implantations qui ont désormais leur propre direction (depuis septembre 2020) : </w:t>
      </w:r>
    </w:p>
    <w:p>
      <w:pPr>
        <w:pBdr>
          <w:top w:val="single" w:sz="4" w:space="1" w:color="000000"/>
          <w:left w:val="single" w:sz="4" w:space="4" w:color="000000"/>
          <w:bottom w:val="single" w:sz="4" w:space="1" w:color="000000"/>
          <w:right w:val="single" w:sz="4" w:space="4" w:color="000000"/>
        </w:pBdr>
        <w:spacing w:after="0"/>
        <w:jc w:val="both"/>
      </w:pPr>
      <w:r>
        <w:t xml:space="preserve">- L’implantation A dite « des Goujons » est située : </w:t>
      </w:r>
    </w:p>
    <w:p>
      <w:pPr>
        <w:pBdr>
          <w:top w:val="single" w:sz="4" w:space="1" w:color="000000"/>
          <w:left w:val="single" w:sz="4" w:space="4" w:color="000000"/>
          <w:bottom w:val="single" w:sz="4" w:space="1" w:color="000000"/>
          <w:right w:val="single" w:sz="4" w:space="4" w:color="000000"/>
        </w:pBdr>
        <w:spacing w:after="0"/>
        <w:jc w:val="center"/>
      </w:pPr>
      <w:r>
        <w:t>rue des Goujons 15</w:t>
      </w:r>
    </w:p>
    <w:p>
      <w:pPr>
        <w:pBdr>
          <w:top w:val="single" w:sz="4" w:space="1" w:color="000000"/>
          <w:left w:val="single" w:sz="4" w:space="4" w:color="000000"/>
          <w:bottom w:val="single" w:sz="4" w:space="1" w:color="000000"/>
          <w:right w:val="single" w:sz="4" w:space="4" w:color="000000"/>
        </w:pBdr>
        <w:spacing w:after="0"/>
        <w:jc w:val="center"/>
      </w:pPr>
      <w:r>
        <w:t>1070 Anderlecht.</w:t>
      </w:r>
    </w:p>
    <w:p>
      <w:pPr>
        <w:pBdr>
          <w:top w:val="single" w:sz="4" w:space="1" w:color="000000"/>
          <w:left w:val="single" w:sz="4" w:space="4" w:color="000000"/>
          <w:bottom w:val="single" w:sz="4" w:space="1" w:color="000000"/>
          <w:right w:val="single" w:sz="4" w:space="4" w:color="000000"/>
        </w:pBdr>
        <w:spacing w:after="0"/>
        <w:jc w:val="both"/>
      </w:pPr>
      <w:r>
        <w:t xml:space="preserve">Elle a été créée en 2014 et comprend 6 classes maternelles et 11 classes primaires. Il y a 12 périodes FLA réparties en M2 et M3. Il y a également la présence de 46 périodes FLA réparties sur toutes les années du primaire. Les groupes sont formés en fonction des difficultés des enfants et non en fonction de leur âge ou de leur groupe classe. </w:t>
      </w:r>
    </w:p>
    <w:p>
      <w:pPr>
        <w:pBdr>
          <w:top w:val="single" w:sz="4" w:space="1" w:color="000000"/>
          <w:left w:val="single" w:sz="4" w:space="4" w:color="000000"/>
          <w:bottom w:val="single" w:sz="4" w:space="1" w:color="000000"/>
          <w:right w:val="single" w:sz="4" w:space="4" w:color="000000"/>
        </w:pBdr>
        <w:spacing w:after="0"/>
        <w:jc w:val="both"/>
      </w:pPr>
    </w:p>
    <w:p>
      <w:pPr>
        <w:pBdr>
          <w:top w:val="single" w:sz="4" w:space="1" w:color="000000"/>
          <w:left w:val="single" w:sz="4" w:space="4" w:color="000000"/>
          <w:bottom w:val="single" w:sz="4" w:space="1" w:color="000000"/>
          <w:right w:val="single" w:sz="4" w:space="4" w:color="000000"/>
        </w:pBdr>
        <w:jc w:val="both"/>
      </w:pPr>
      <w:r>
        <w:t xml:space="preserve">L’équipe pédagogique comprend 35 membres dont deux éducateurs. </w:t>
      </w:r>
    </w:p>
    <w:p>
      <w:pPr>
        <w:pBdr>
          <w:top w:val="single" w:sz="4" w:space="1" w:color="000000"/>
          <w:left w:val="single" w:sz="4" w:space="4" w:color="000000"/>
          <w:bottom w:val="single" w:sz="4" w:space="1" w:color="000000"/>
          <w:right w:val="single" w:sz="4" w:space="4" w:color="000000"/>
        </w:pBdr>
        <w:spacing w:after="0"/>
        <w:jc w:val="both"/>
      </w:pPr>
      <w:r>
        <w:t xml:space="preserve">Ces derniers suivent de près les parents concernant l’obligation scolaire et travaillent en étroite collaboration avec l’équipe mobile, la police et le CPMS. </w:t>
      </w:r>
    </w:p>
    <w:p>
      <w:pPr>
        <w:pBdr>
          <w:top w:val="single" w:sz="4" w:space="1" w:color="000000"/>
          <w:left w:val="single" w:sz="4" w:space="4" w:color="000000"/>
          <w:bottom w:val="single" w:sz="4" w:space="1" w:color="000000"/>
          <w:right w:val="single" w:sz="4" w:space="4" w:color="000000"/>
        </w:pBdr>
        <w:jc w:val="both"/>
      </w:pPr>
      <w:r>
        <w:t>Depuis 2020, il existe une classe DASPA où les enfants seront davantage soutenus dans l’apprentissage du français. Les membres du personnel sont attentifs aux diverses particularités des élèves inscrits.</w:t>
      </w:r>
    </w:p>
    <w:p>
      <w:pPr>
        <w:pBdr>
          <w:top w:val="single" w:sz="4" w:space="1" w:color="000000"/>
          <w:left w:val="single" w:sz="4" w:space="4" w:color="000000"/>
          <w:bottom w:val="single" w:sz="4" w:space="1" w:color="000000"/>
          <w:right w:val="single" w:sz="4" w:space="4" w:color="000000"/>
        </w:pBdr>
        <w:jc w:val="both"/>
      </w:pPr>
      <w:r>
        <w:t xml:space="preserve">Le fondamental bénéficie du PAPO du secondaire. Celui-ci est très présent dans l’école. Le dialogue se passe très bien entre les membres du personnel. </w:t>
      </w:r>
    </w:p>
    <w:p>
      <w:pPr>
        <w:pBdr>
          <w:top w:val="single" w:sz="4" w:space="1" w:color="000000"/>
          <w:left w:val="single" w:sz="4" w:space="4" w:color="000000"/>
          <w:bottom w:val="single" w:sz="4" w:space="1" w:color="000000"/>
          <w:right w:val="single" w:sz="4" w:space="4" w:color="000000"/>
        </w:pBdr>
        <w:jc w:val="both"/>
      </w:pPr>
      <w:r>
        <w:t>L’école fondamentale annexée à l’Athénée Royal Leonardo Da Vinci accueille différents projets comme le plan de déplacement scolaire (qui est un élément qui motive les enfants à venir à l’école), le potager, les animations des éducateurs sur le temps de midi (qui sont visibles depuis la rue et auxquelles certains enfants qui passent devant l’école ont parfois envie de participer), etc.</w:t>
      </w:r>
    </w:p>
    <w:p>
      <w:pPr>
        <w:pBdr>
          <w:top w:val="single" w:sz="4" w:space="1" w:color="000000"/>
          <w:left w:val="single" w:sz="4" w:space="4" w:color="000000"/>
          <w:bottom w:val="single" w:sz="4" w:space="1" w:color="000000"/>
          <w:right w:val="single" w:sz="4" w:space="4" w:color="000000"/>
        </w:pBdr>
        <w:jc w:val="both"/>
      </w:pPr>
      <w:r>
        <w:t>De plus, des sorties pédagogiques sont organisées et permettent d’enrichir les découvertes des élèves (la ferme pédagogique, activités sportives, visites de musées, découverte du quartier, etc.).</w:t>
      </w:r>
    </w:p>
    <w:p>
      <w:pPr>
        <w:pBdr>
          <w:top w:val="single" w:sz="4" w:space="1" w:color="000000"/>
          <w:left w:val="single" w:sz="4" w:space="4" w:color="000000"/>
          <w:bottom w:val="single" w:sz="4" w:space="1" w:color="000000"/>
          <w:right w:val="single" w:sz="4" w:space="4" w:color="000000"/>
        </w:pBdr>
        <w:jc w:val="both"/>
      </w:pPr>
      <w:r>
        <w:t xml:space="preserve">Le fait que l’école soit annexée à un établissement secondaire permet d’envisager une continuité pédagogique cohérente pour les enfants. En pratique, les ainés peuvent venir chercher les plus jeunes directement à la sortie de l’école ce qui rassure aussi les parents. </w:t>
      </w:r>
    </w:p>
    <w:p>
      <w:pPr>
        <w:pBdr>
          <w:top w:val="single" w:sz="4" w:space="1" w:color="000000"/>
          <w:left w:val="single" w:sz="4" w:space="4" w:color="000000"/>
          <w:bottom w:val="single" w:sz="4" w:space="1" w:color="000000"/>
          <w:right w:val="single" w:sz="4" w:space="4" w:color="000000"/>
        </w:pBdr>
        <w:jc w:val="both"/>
      </w:pPr>
      <w:r>
        <w:t xml:space="preserve">Une garderie est organisée à partir de 7 heures et après les cours jusqu’à 18 heures. Pendant cette dernière, un éducateur se charge de l’aide aux devoirs. </w:t>
      </w:r>
    </w:p>
    <w:p>
      <w:pPr>
        <w:pBdr>
          <w:top w:val="single" w:sz="4" w:space="1" w:color="000000"/>
          <w:left w:val="single" w:sz="4" w:space="4" w:color="000000"/>
          <w:bottom w:val="single" w:sz="4" w:space="1" w:color="000000"/>
          <w:right w:val="single" w:sz="4" w:space="4" w:color="000000"/>
        </w:pBdr>
        <w:rPr>
          <w:rFonts w:ascii="Verdana" w:hAnsi="Verdana" w:cs="Arial"/>
          <w:b/>
          <w:bCs/>
          <w:color w:val="000000" w:themeColor="text1"/>
          <w:u w:val="double"/>
        </w:rPr>
      </w:pPr>
      <w:r>
        <w:rPr>
          <w:rFonts w:ascii="Verdana" w:hAnsi="Verdana" w:cs="Arial"/>
          <w:b/>
          <w:bCs/>
          <w:color w:val="000000" w:themeColor="text1"/>
          <w:u w:val="double"/>
        </w:rPr>
        <w:t>Nature de l’emploi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O emploi définitivement vacant.</w:t>
      </w:r>
    </w:p>
    <w:p>
      <w:pPr>
        <w:pBdr>
          <w:top w:val="single" w:sz="4" w:space="0" w:color="000000"/>
          <w:left w:val="single" w:sz="4" w:space="4" w:color="000000"/>
          <w:bottom w:val="single" w:sz="4" w:space="0" w:color="000000"/>
          <w:right w:val="single" w:sz="4" w:space="4" w:color="000000"/>
        </w:pBdr>
        <w:rPr>
          <w:rFonts w:ascii="Verdana" w:hAnsi="Verdana"/>
        </w:rPr>
      </w:pPr>
      <w:r>
        <w:rPr>
          <w:rFonts w:ascii="Verdana" w:hAnsi="Verdana"/>
          <w:b/>
          <w:u w:val="single"/>
        </w:rPr>
        <w:t>Coordonnées de la personne-contact</w:t>
      </w:r>
      <w:r>
        <w:rPr>
          <w:rFonts w:ascii="Verdana" w:hAnsi="Verdana"/>
        </w:rPr>
        <w:t xml:space="preserve"> auprès de laquelle des renseignements complémentaires peuvent être obtenus : VANDERHEIDEN – Renelde – Préfète de zone – Email : </w:t>
      </w:r>
      <w:r>
        <w:rPr>
          <w:rFonts w:ascii="Verdana" w:hAnsi="Verdana" w:cs="Calibri"/>
        </w:rPr>
        <w:t>renelde.vanderheiden(at)cfwb.be</w:t>
      </w:r>
    </w:p>
    <w:p>
      <w:pPr>
        <w:pBdr>
          <w:top w:val="single" w:sz="4" w:space="1" w:color="000000"/>
          <w:left w:val="single" w:sz="4" w:space="4" w:color="000000"/>
          <w:bottom w:val="single" w:sz="4" w:space="1" w:color="000000"/>
          <w:right w:val="single" w:sz="4" w:space="0" w:color="000000"/>
        </w:pBdr>
        <w:jc w:val="both"/>
        <w:rPr>
          <w:rFonts w:ascii="Verdana" w:hAnsi="Verdana" w:cs="Arial"/>
          <w:b/>
          <w:color w:val="000000" w:themeColor="text1"/>
          <w:u w:val="single"/>
        </w:rPr>
      </w:pPr>
      <w:r>
        <w:rPr>
          <w:rFonts w:ascii="Verdana" w:hAnsi="Verdana" w:cs="Arial"/>
          <w:b/>
          <w:color w:val="000000" w:themeColor="text1"/>
          <w:u w:val="single"/>
        </w:rPr>
        <w:t xml:space="preserve">Destinataires de l’appel : </w:t>
      </w:r>
      <w:r>
        <w:rPr>
          <w:rFonts w:ascii="Verdana" w:hAnsi="Verdana" w:cs="Arial"/>
          <w:color w:val="000000" w:themeColor="text1"/>
        </w:rPr>
        <w:t>Les membres du personnel exerçant leurs fonctions au sein de WBE.</w:t>
      </w:r>
    </w:p>
    <w:p>
      <w:pPr>
        <w:pBdr>
          <w:top w:val="single" w:sz="4" w:space="1" w:color="000000"/>
          <w:left w:val="single" w:sz="4" w:space="4" w:color="000000"/>
          <w:bottom w:val="single" w:sz="4" w:space="1" w:color="000000"/>
          <w:right w:val="single" w:sz="4" w:space="4" w:color="000000"/>
        </w:pBdr>
        <w:rPr>
          <w:rFonts w:ascii="Verdana" w:hAnsi="Verdana"/>
          <w:b/>
          <w:u w:val="single"/>
        </w:rPr>
      </w:pPr>
      <w:r>
        <w:rPr>
          <w:rFonts w:ascii="Verdana" w:hAnsi="Verdana"/>
          <w:b/>
          <w:u w:val="single"/>
        </w:rPr>
        <w:t>Modalités pour postuler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Les dossiers de candidature doivent être envoyés, au plus tard le 02/12/2020 inclus. </w:t>
      </w:r>
    </w:p>
    <w:p>
      <w:pPr>
        <w:pBdr>
          <w:top w:val="single" w:sz="4" w:space="1" w:color="000000"/>
          <w:left w:val="single" w:sz="4" w:space="4" w:color="000000"/>
          <w:bottom w:val="single" w:sz="4" w:space="1" w:color="000000"/>
          <w:right w:val="single" w:sz="4" w:space="4" w:color="000000"/>
        </w:pBdr>
      </w:pPr>
      <w:r>
        <w:rPr>
          <w:rFonts w:ascii="Verdana" w:hAnsi="Verdana"/>
        </w:rPr>
        <w:t xml:space="preserve">- De préférence, par envoi électronique avec une demande d’accusé de réception et d’accusé de lecture : </w:t>
      </w:r>
      <w:r>
        <w:rPr>
          <w:rFonts w:ascii="Verdana" w:hAnsi="Verdana"/>
        </w:rPr>
        <w:br/>
        <w:t xml:space="preserve">Destinataire : </w:t>
      </w:r>
      <w:hyperlink r:id="rId11">
        <w:r>
          <w:rPr>
            <w:rStyle w:val="LienInternet"/>
            <w:rFonts w:ascii="Verdana" w:hAnsi="Verdana"/>
          </w:rPr>
          <w:t>selection.promotion(at)w-b-e.be</w:t>
        </w:r>
      </w:hyperlink>
      <w:r>
        <w:rPr>
          <w:rFonts w:ascii="Verdana" w:hAnsi="Verdana"/>
        </w:rPr>
        <w:br/>
        <w:t>Objet : WBE CE 2020 010</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Ou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 Par recommandé ou déposés contre avis de réception à :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Direction des ressources humaines : Service sélection et promotion de l’enseignement. </w:t>
      </w:r>
      <w:r>
        <w:rPr>
          <w:rFonts w:ascii="Verdana" w:hAnsi="Verdana"/>
          <w:highlight w:val="yellow"/>
        </w:rPr>
        <w:br/>
      </w:r>
      <w:r>
        <w:rPr>
          <w:rFonts w:ascii="Verdana" w:hAnsi="Verdana"/>
        </w:rPr>
        <w:t>Wallonie-Bruxelles Enseignement</w:t>
      </w:r>
      <w:r>
        <w:rPr>
          <w:rFonts w:ascii="Verdana" w:hAnsi="Verdana"/>
        </w:rPr>
        <w:br/>
        <w:t xml:space="preserve">Boulevard du Jardin botanique 20-22 à 1000 Bruxelles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Le dossier de candidature comportera : </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Un curriculum vitae rédigé en français et actualisé indiquant précisément les dates d’exercice des postes (jour, mois, année)</w:t>
      </w:r>
      <w:r>
        <w:rPr>
          <w:rFonts w:ascii="Verdana" w:hAnsi="Verdana"/>
        </w:rPr>
        <w:br/>
        <w:t>- Un formulaire de candidature de la fonction à pourvoir complété(voir annexe 3)</w:t>
      </w:r>
      <w:r>
        <w:rPr>
          <w:rFonts w:ascii="Verdana" w:hAnsi="Verdana"/>
        </w:rPr>
        <w:br/>
        <w:t>- Une copie du (ou des) diplôme(s) requis</w:t>
      </w:r>
      <w:r>
        <w:rPr>
          <w:rFonts w:ascii="Verdana" w:hAnsi="Verdana"/>
        </w:rPr>
        <w:br/>
        <w:t>- Un extrait de casier judiciaire 596.2 vierge antérieur de 3 mois maximum à partir de la date de fin de publication de l’appel à candidature.</w:t>
      </w:r>
    </w:p>
    <w:p>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Le cas échéant, une copie des attestations de réussite obtenues dans le cadre de la formation initiale des directeurs</w:t>
      </w:r>
      <w:r>
        <w:rPr>
          <w:rFonts w:ascii="Verdana" w:hAnsi="Verdana"/>
          <w:sz w:val="18"/>
        </w:rPr>
        <w:t>/</w:t>
      </w:r>
      <w:r>
        <w:rPr>
          <w:rFonts w:ascii="Verdana" w:hAnsi="Verdana"/>
        </w:rPr>
        <w:t>rices sera jointe au dossier de candidature. Celles-ci pourront être considérées comme un atout.</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Attention, les dossiers de candidature incomplets ou ne répondant pas aux exigences ne pourront pas être considérés comme recevables pour la suite de la procédure de sélection et de promotion.</w:t>
      </w:r>
    </w:p>
    <w:p>
      <w:pPr>
        <w:pBdr>
          <w:top w:val="single" w:sz="4" w:space="1" w:color="000000"/>
          <w:left w:val="single" w:sz="4" w:space="4" w:color="000000"/>
          <w:bottom w:val="single" w:sz="4" w:space="1" w:color="000000"/>
          <w:right w:val="single" w:sz="4" w:space="4" w:color="000000"/>
        </w:pBdr>
        <w:jc w:val="both"/>
        <w:rPr>
          <w:rFonts w:ascii="Verdana" w:hAnsi="Verdana"/>
          <w:b/>
          <w:u w:val="single"/>
        </w:rPr>
      </w:pPr>
      <w:r>
        <w:rPr>
          <w:rFonts w:ascii="Verdana" w:hAnsi="Verdana"/>
          <w:b/>
          <w:u w:val="single"/>
        </w:rPr>
        <w:t>Annexes :</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Annexe 1 : Conditions d’accès à la fonction</w:t>
      </w:r>
    </w:p>
    <w:p>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xml:space="preserve">- Annexe 2 : Profil de fonction établi par le Pouvoir organisateur. </w:t>
      </w:r>
    </w:p>
    <w:p>
      <w:pPr>
        <w:pBdr>
          <w:top w:val="single" w:sz="4" w:space="1" w:color="000000"/>
          <w:left w:val="single" w:sz="4" w:space="4" w:color="000000"/>
          <w:bottom w:val="single" w:sz="4" w:space="1" w:color="000000"/>
          <w:right w:val="single" w:sz="4" w:space="4" w:color="000000"/>
        </w:pBdr>
        <w:jc w:val="both"/>
      </w:pPr>
      <w:r>
        <w:rPr>
          <w:rFonts w:ascii="Verdana" w:hAnsi="Verdana"/>
        </w:rPr>
        <w:t xml:space="preserve">- Annexe 3 : Formulaire de candidatures ((disponible en version électronique sur notre site internet : </w:t>
      </w:r>
      <w:hyperlink r:id="rId12" w:history="1">
        <w:r>
          <w:rPr>
            <w:rStyle w:val="Lienhypertexte"/>
            <w:rFonts w:ascii="Verdana" w:hAnsi="Verdana"/>
          </w:rPr>
          <w:t>https://www.w-b-e.be/jobs-carriere/evolution-de-carriere/emplois-vacants/</w:t>
        </w:r>
      </w:hyperlink>
      <w:r>
        <w:rPr>
          <w:rFonts w:ascii="Verdana" w:hAnsi="Verdana"/>
        </w:rPr>
        <w:t xml:space="preserve">  et à joindre dans votre candidature) </w:t>
      </w:r>
      <w:r>
        <w:br w:type="page"/>
      </w:r>
    </w:p>
    <w:p>
      <w:pPr>
        <w:rPr>
          <w:rFonts w:ascii="Verdana" w:hAnsi="Verdana"/>
          <w:b/>
        </w:rPr>
      </w:pPr>
      <w:r>
        <w:rPr>
          <w:rFonts w:ascii="Verdana" w:hAnsi="Verdana"/>
          <w:b/>
        </w:rPr>
        <w:t xml:space="preserve">Annexe 1. Conditions d’accès à la fonction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rPr>
      </w:pPr>
      <w:r>
        <w:rPr>
          <w:rFonts w:ascii="Verdana" w:hAnsi="Verdana"/>
          <w:b/>
          <w:u w:val="double"/>
        </w:rPr>
        <w:t>Les conditions légales d'accès à la fonction</w:t>
      </w:r>
      <w:r>
        <w:rPr>
          <w:rFonts w:ascii="Verdana" w:hAnsi="Verdana"/>
        </w:rPr>
        <w:t xml:space="preserve"> sont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rPr>
      </w:pP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1° être porteur d’un titre du niveau supérieur du 1</w:t>
      </w:r>
      <w:r>
        <w:rPr>
          <w:rFonts w:ascii="Verdana" w:hAnsi="Verdana" w:cs="Arial"/>
          <w:color w:val="000000" w:themeColor="text1"/>
          <w:vertAlign w:val="superscript"/>
        </w:rPr>
        <w:t>er</w:t>
      </w:r>
      <w:r>
        <w:rPr>
          <w:rFonts w:ascii="Verdana" w:hAnsi="Verdana" w:cs="Arial"/>
          <w:color w:val="000000" w:themeColor="text1"/>
        </w:rPr>
        <w:t xml:space="preserve"> degré au moins</w:t>
      </w:r>
      <w:r>
        <w:rPr>
          <w:rStyle w:val="Ancredenotedebasdepage"/>
          <w:rFonts w:ascii="Verdana" w:hAnsi="Verdana" w:cs="Arial"/>
          <w:color w:val="000000" w:themeColor="text1"/>
        </w:rPr>
        <w:footnoteReference w:id="1"/>
      </w:r>
      <w:r>
        <w:rPr>
          <w:rFonts w:ascii="Verdana" w:hAnsi="Verdana" w:cs="Arial"/>
          <w:color w:val="000000" w:themeColor="text1"/>
        </w:rPr>
        <w:t>;</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 xml:space="preserve">2° être porteur d’un titre </w:t>
      </w:r>
      <w:r>
        <w:rPr>
          <w:rFonts w:ascii="Verdana" w:hAnsi="Verdana" w:cs="Arial"/>
        </w:rPr>
        <w:t>pédagogique</w:t>
      </w:r>
      <w:bookmarkStart w:id="1" w:name="_Ref4752735"/>
      <w:bookmarkEnd w:id="1"/>
      <w:r>
        <w:rPr>
          <w:rStyle w:val="Ancredenotedebasdepage"/>
          <w:rFonts w:ascii="Verdana" w:hAnsi="Verdana" w:cs="Arial"/>
        </w:rPr>
        <w:footnoteReference w:id="2"/>
      </w:r>
      <w:r>
        <w:rPr>
          <w:rFonts w:ascii="Verdana" w:hAnsi="Verdana" w:cs="Arial"/>
        </w:rPr>
        <w:t>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rPr>
      </w:pPr>
      <w:r>
        <w:rPr>
          <w:rFonts w:ascii="Verdana" w:hAnsi="Verdana" w:cs="Arial"/>
        </w:rPr>
        <w:t>3° compter une ancienneté de service de trois ans au sein de l’enseignement</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rPr>
      </w:pPr>
      <w:r>
        <w:rPr>
          <w:rFonts w:ascii="Verdana" w:hAnsi="Verdana" w:cs="Arial"/>
        </w:rPr>
        <w:t>organisé ou subventionné par la Communauté française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4° avoir répondu à l’appel à candidature.</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cs="Arial"/>
          <w:b/>
          <w:color w:val="000000" w:themeColor="text1"/>
        </w:rPr>
      </w:pPr>
      <w:r>
        <w:rPr>
          <w:rFonts w:ascii="Verdana" w:hAnsi="Verdana" w:cs="Arial"/>
          <w:b/>
          <w:color w:val="000000" w:themeColor="text1"/>
        </w:rPr>
        <w:t>Les candidats reconnus comme éligibles à une fonction de directeur/</w:t>
      </w:r>
      <w:r>
        <w:rPr>
          <w:rFonts w:ascii="Verdana" w:hAnsi="Verdana"/>
          <w:b/>
        </w:rPr>
        <w:t>rice</w:t>
      </w:r>
      <w:r>
        <w:rPr>
          <w:rFonts w:ascii="Verdana" w:hAnsi="Verdana" w:cs="Arial"/>
          <w:b/>
          <w:color w:val="000000" w:themeColor="text1"/>
        </w:rPr>
        <w:t xml:space="preserve"> par la Commission de valorisation de l’expérience dans l’enseignement</w:t>
      </w:r>
      <w:bookmarkStart w:id="2" w:name="_Ref532810415"/>
      <w:bookmarkEnd w:id="2"/>
      <w:r>
        <w:rPr>
          <w:rStyle w:val="Ancredenotedebasdepage"/>
          <w:rFonts w:ascii="Verdana" w:eastAsia="Times New Roman" w:hAnsi="Verdana" w:cs="Arial"/>
          <w:b/>
          <w:color w:val="000000" w:themeColor="text1"/>
          <w:lang w:eastAsia="fr-FR"/>
        </w:rPr>
        <w:footnoteReference w:id="3"/>
      </w:r>
      <w:r>
        <w:rPr>
          <w:rFonts w:ascii="Verdana" w:hAnsi="Verdana" w:cs="Arial"/>
          <w:b/>
          <w:color w:val="000000" w:themeColor="text1"/>
        </w:rPr>
        <w:t xml:space="preserve"> ne sont pas concernés par les conditions précitées mais par les conditions suivantes :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rPr>
      </w:pPr>
      <w:r>
        <w:rPr>
          <w:rFonts w:ascii="Verdana" w:hAnsi="Verdana" w:cs="Arial"/>
          <w:color w:val="000000" w:themeColor="text1"/>
        </w:rPr>
        <w:t>1° jouir des droits civils et politiques</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 xml:space="preserve">2° satisfaire aux dispositions légales et réglementaires relatives au régime </w:t>
      </w:r>
      <w:r>
        <w:rPr>
          <w:rFonts w:ascii="Verdana" w:hAnsi="Verdana" w:cs="Arial"/>
          <w:color w:val="000000" w:themeColor="text1"/>
        </w:rPr>
        <w:tab/>
        <w:t>linguistique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3° être de conduite irréprochable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4° satisfaire aux lois sur la milice ;</w:t>
      </w:r>
    </w:p>
    <w:p>
      <w:pPr>
        <w:pBdr>
          <w:top w:val="single" w:sz="4" w:space="1" w:color="000000"/>
          <w:left w:val="single" w:sz="4" w:space="4" w:color="000000"/>
          <w:bottom w:val="single" w:sz="4" w:space="0" w:color="000000"/>
          <w:right w:val="single" w:sz="4" w:space="4" w:color="000000"/>
        </w:pBdr>
        <w:spacing w:after="0" w:line="240" w:lineRule="auto"/>
        <w:ind w:firstLine="708"/>
        <w:jc w:val="both"/>
      </w:pPr>
      <w:r>
        <w:rPr>
          <w:rFonts w:ascii="Verdana" w:eastAsia="Times New Roman" w:hAnsi="Verdana" w:cs="Arial"/>
          <w:color w:val="000000" w:themeColor="text1"/>
          <w:lang w:eastAsia="fr-FR"/>
        </w:rPr>
        <w:t>5° avoir répondu à l’appel à candidatures.</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cs="Arial"/>
          <w:color w:val="000000" w:themeColor="text1"/>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b/>
        </w:rPr>
      </w:pPr>
      <w:r>
        <w:rPr>
          <w:rFonts w:ascii="Verdana" w:hAnsi="Verdana"/>
          <w:b/>
        </w:rPr>
        <w:t xml:space="preserve">Sur base des dossiers de candidature, le jury de sélection pourra limiter le nombre de candidatures.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b/>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Cette première analyse prendra en compte plus particulièrement les éléments suivants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 xml:space="preserve">    - Dans le formulaire :</w:t>
      </w:r>
    </w:p>
    <w:p>
      <w:pPr>
        <w:pBdr>
          <w:top w:val="single" w:sz="4" w:space="1" w:color="000000"/>
          <w:left w:val="single" w:sz="4" w:space="4" w:color="000000"/>
          <w:bottom w:val="single" w:sz="4" w:space="0" w:color="000000"/>
          <w:right w:val="single" w:sz="4" w:space="4" w:color="000000"/>
        </w:pBdr>
        <w:spacing w:after="0" w:line="240" w:lineRule="auto"/>
        <w:ind w:firstLine="708"/>
        <w:rPr>
          <w:rFonts w:ascii="Verdana" w:eastAsia="Times New Roman" w:hAnsi="Verdana" w:cs="Arial"/>
          <w:color w:val="000000" w:themeColor="text1"/>
          <w:lang w:eastAsia="fr-FR"/>
        </w:rPr>
      </w:pPr>
      <w:r>
        <w:rPr>
          <w:rFonts w:ascii="Verdana" w:eastAsia="Times New Roman" w:hAnsi="Verdana" w:cs="Arial"/>
          <w:b/>
          <w:color w:val="000000" w:themeColor="text1"/>
          <w:lang w:eastAsia="fr-FR"/>
        </w:rPr>
        <w:t>*</w:t>
      </w:r>
      <w:r>
        <w:rPr>
          <w:rFonts w:ascii="Verdana" w:eastAsia="Times New Roman" w:hAnsi="Verdana" w:cs="Arial"/>
          <w:color w:val="000000" w:themeColor="text1"/>
          <w:lang w:eastAsia="fr-FR"/>
        </w:rPr>
        <w:t>Partie 1 « Responsabilité », en tenant compte des connaissances de :</w:t>
      </w:r>
    </w:p>
    <w:p>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           - WBE : son organisation, son projet éducatif et pédagogique ;</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                    - </w:t>
      </w:r>
      <w:r>
        <w:rPr>
          <w:rFonts w:ascii="Verdana" w:hAnsi="Verdana"/>
        </w:rPr>
        <w:t xml:space="preserve">L’Athénée Royal Leonardo Da Vinci – Ecole fondamentale – Implantation des Goujons </w:t>
      </w:r>
      <w:r>
        <w:rPr>
          <w:rFonts w:ascii="Verdana" w:eastAsia="Times New Roman" w:hAnsi="Verdana" w:cs="Arial"/>
          <w:color w:val="000000" w:themeColor="text1"/>
          <w:lang w:eastAsia="fr-FR"/>
        </w:rPr>
        <w:t xml:space="preserve">: les projets pédagogiques déjà mis en place, les caractéristiques de l’établissement, l’ancrage environnemental. </w:t>
      </w:r>
    </w:p>
    <w:p>
      <w:pPr>
        <w:pBdr>
          <w:top w:val="single" w:sz="4" w:space="1" w:color="000000"/>
          <w:left w:val="single" w:sz="4" w:space="4" w:color="000000"/>
          <w:bottom w:val="single" w:sz="4" w:space="0" w:color="000000"/>
          <w:right w:val="single" w:sz="4" w:space="4" w:color="000000"/>
        </w:pBdr>
        <w:spacing w:after="0" w:line="240" w:lineRule="auto"/>
        <w:ind w:firstLine="1134"/>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ind w:firstLine="708"/>
        <w:rPr>
          <w:rFonts w:ascii="Verdana" w:eastAsia="Times New Roman" w:hAnsi="Verdana" w:cs="Arial"/>
          <w:color w:val="000000" w:themeColor="text1"/>
          <w:lang w:eastAsia="fr-FR"/>
        </w:rPr>
      </w:pPr>
      <w:r>
        <w:rPr>
          <w:rFonts w:ascii="Verdana" w:eastAsia="Times New Roman" w:hAnsi="Verdana" w:cs="Arial"/>
          <w:b/>
          <w:color w:val="000000" w:themeColor="text1"/>
          <w:lang w:eastAsia="fr-FR"/>
        </w:rPr>
        <w:t>*</w:t>
      </w:r>
      <w:r>
        <w:rPr>
          <w:rFonts w:ascii="Verdana" w:eastAsia="Times New Roman" w:hAnsi="Verdana" w:cs="Arial"/>
          <w:color w:val="000000" w:themeColor="text1"/>
          <w:lang w:eastAsia="fr-FR"/>
        </w:rPr>
        <w:t>Partie 3 « Motivation ».</w:t>
      </w:r>
    </w:p>
    <w:p>
      <w:pPr>
        <w:pBdr>
          <w:top w:val="single" w:sz="4" w:space="1" w:color="000000"/>
          <w:left w:val="single" w:sz="4" w:space="4" w:color="000000"/>
          <w:bottom w:val="single" w:sz="4" w:space="0" w:color="000000"/>
          <w:right w:val="single" w:sz="4" w:space="4" w:color="000000"/>
        </w:pBdr>
        <w:spacing w:after="0" w:line="240" w:lineRule="auto"/>
        <w:ind w:firstLine="708"/>
        <w:rPr>
          <w:rFonts w:ascii="Verdana" w:eastAsia="Times New Roman" w:hAnsi="Verdana" w:cs="Arial"/>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    - </w:t>
      </w:r>
      <w:r>
        <w:rPr>
          <w:rFonts w:ascii="Verdana" w:eastAsia="Times New Roman" w:hAnsi="Verdana" w:cs="Arial"/>
          <w:b/>
          <w:color w:val="000000" w:themeColor="text1"/>
          <w:lang w:eastAsia="fr-FR"/>
        </w:rPr>
        <w:t>Disposer d’attestations de réussite obtenues dans le cadre de la formation initiale des directeurs/rices.</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Le jury est prévu le 11 janvier 2021, une convocation sera envoyée aux candidats retenus le 06 janvier 2021.</w:t>
      </w:r>
    </w:p>
    <w:p>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p>
    <w:p>
      <w:pPr>
        <w:spacing w:after="160" w:line="259" w:lineRule="auto"/>
        <w:rPr>
          <w:rFonts w:ascii="Verdana" w:hAnsi="Verdana"/>
        </w:rPr>
        <w:sectPr>
          <w:footerReference w:type="default" r:id="rId13"/>
          <w:headerReference w:type="first" r:id="rId14"/>
          <w:footerReference w:type="first" r:id="rId15"/>
          <w:pgSz w:w="11906" w:h="16838"/>
          <w:pgMar w:top="1417" w:right="1417" w:bottom="1417" w:left="1417" w:header="567" w:footer="227" w:gutter="0"/>
          <w:cols w:space="720"/>
          <w:formProt w:val="0"/>
          <w:titlePg/>
          <w:docGrid w:linePitch="326" w:charSpace="4096"/>
        </w:sectPr>
      </w:pP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Diplôme : Vous devez être en possession du ou des diplôme(s) requis :</w:t>
      </w: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b/>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ab/>
        <w:t>Pour les diplômes obtenus hors Belgique, une attestation d'équivalence du diplôme de la Communauté française est requise (pour l'obtenir: 02/690.89.00  ou https://www.formulairesweb.cfwb.be/equi_ens_oblig/formulaire_equivalence.html) Service de l’équivalence des diplômes /Service de la reconnaissance académique et professionnelle des diplômes étrangers d’enseignement supérieur)</w:t>
      </w: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ab/>
        <w:t>Pour les diplômes obtenus dans une autre langue que le français, une attestation de votre connaissance de la langue française délivrée par le Selor suite à un test linguistique (article 7) est requise (pour l’obtenir : inscription  en ligne sur le site du Selor (www.selor.be))</w:t>
      </w: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pPr>
        <w:spacing w:after="160" w:line="259" w:lineRule="auto"/>
        <w:rPr>
          <w:rFonts w:ascii="Verdana" w:hAnsi="Verdana"/>
        </w:rPr>
      </w:pPr>
    </w:p>
    <w:p>
      <w:pPr>
        <w:spacing w:after="160" w:line="259" w:lineRule="auto"/>
        <w:rPr>
          <w:rFonts w:ascii="Verdana" w:hAnsi="Verdana"/>
        </w:rPr>
      </w:pPr>
    </w:p>
    <w:p>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center"/>
      </w:pPr>
      <w:r>
        <w:rPr>
          <w:rFonts w:ascii="Verdana" w:eastAsia="Times New Roman" w:hAnsi="Verdana" w:cs="Arial"/>
          <w:color w:val="000000" w:themeColor="text1"/>
          <w:lang w:eastAsia="fr-FR"/>
        </w:rPr>
        <w:t>Wallonie Bruxelles Enseignement promeut la diversité et l’égalité des chances. Nos chargés de sélection mettent en œuvre des procédures de sélection objectives fondées sur les compétences. La couleur de peau, l’origine, le sexe, les convictions religieuses, le handicap ... ne jouent aucun rôle dans le screening et l’évaluation des candidats.</w:t>
      </w: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Vous présentez un handicap, un trouble ou une maladie et souhaitez bénéficier d’aménagements raisonnables dans le cadre de la procédure de sélection ?</w:t>
      </w: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b/>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Faites-en mention dans votre acte de candidature en mettant en nous donnant les informations qui nous permettront d’adapter les conditions de l’entretien.</w:t>
      </w: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Pour toute question sur les aménagements raisonnables : </w:t>
      </w:r>
    </w:p>
    <w:p>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hyperlink r:id="rId16">
        <w:r>
          <w:rPr>
            <w:rStyle w:val="LienInternet"/>
            <w:rFonts w:ascii="Verdana" w:hAnsi="Verdana"/>
          </w:rPr>
          <w:t>selection.promotion(at)w-b-e.be</w:t>
        </w:r>
      </w:hyperlink>
    </w:p>
    <w:p>
      <w:pPr>
        <w:spacing w:after="160" w:line="259" w:lineRule="auto"/>
        <w:rPr>
          <w:rFonts w:ascii="Verdana" w:hAnsi="Verdana"/>
        </w:rPr>
      </w:pPr>
      <w:r>
        <w:br w:type="page"/>
      </w:r>
    </w:p>
    <w:p>
      <w:pPr>
        <w:spacing w:after="160" w:line="259" w:lineRule="auto"/>
        <w:rPr>
          <w:rFonts w:ascii="Verdana" w:hAnsi="Verdana"/>
        </w:rPr>
      </w:pPr>
    </w:p>
    <w:p>
      <w:pPr>
        <w:tabs>
          <w:tab w:val="left" w:pos="1985"/>
        </w:tabs>
        <w:spacing w:after="0" w:line="240" w:lineRule="auto"/>
        <w:jc w:val="both"/>
        <w:rPr>
          <w:rFonts w:ascii="Calibri" w:eastAsia="Times New Roman" w:hAnsi="Calibri" w:cs="Times New Roman"/>
          <w:sz w:val="20"/>
          <w:szCs w:val="20"/>
          <w:lang w:eastAsia="fr-FR"/>
        </w:rPr>
      </w:pPr>
      <w:r>
        <w:rPr>
          <w:rFonts w:eastAsia="Times New Roman" w:cs="Times New Roman"/>
          <w:noProof/>
          <w:sz w:val="20"/>
          <w:szCs w:val="20"/>
          <w:lang w:eastAsia="fr-BE"/>
        </w:rPr>
        <w:drawing>
          <wp:anchor distT="0" distB="0" distL="0" distR="0" simplePos="0" relativeHeight="11" behindDoc="0" locked="0" layoutInCell="1" allowOverlap="1">
            <wp:simplePos x="0" y="0"/>
            <wp:positionH relativeFrom="margin">
              <wp:align>center</wp:align>
            </wp:positionH>
            <wp:positionV relativeFrom="paragraph">
              <wp:posOffset>-33655</wp:posOffset>
            </wp:positionV>
            <wp:extent cx="4919345" cy="1211580"/>
            <wp:effectExtent l="0" t="0" r="0" b="0"/>
            <wp:wrapNone/>
            <wp:docPr id="1"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30"/>
                    <pic:cNvPicPr>
                      <a:picLocks noChangeAspect="1" noChangeArrowheads="1"/>
                    </pic:cNvPicPr>
                  </pic:nvPicPr>
                  <pic:blipFill>
                    <a:blip r:embed="rId17"/>
                    <a:stretch>
                      <a:fillRect/>
                    </a:stretch>
                  </pic:blipFill>
                  <pic:spPr bwMode="auto">
                    <a:xfrm>
                      <a:off x="0" y="0"/>
                      <a:ext cx="4919345" cy="1211580"/>
                    </a:xfrm>
                    <a:prstGeom prst="rect">
                      <a:avLst/>
                    </a:prstGeom>
                  </pic:spPr>
                </pic:pic>
              </a:graphicData>
            </a:graphic>
          </wp:anchor>
        </w:drawing>
      </w:r>
    </w:p>
    <w:p>
      <w:pPr>
        <w:tabs>
          <w:tab w:val="left" w:pos="1985"/>
        </w:tabs>
        <w:spacing w:after="0" w:line="240" w:lineRule="auto"/>
        <w:jc w:val="both"/>
        <w:rPr>
          <w:rFonts w:ascii="Calibri" w:eastAsia="Times New Roman" w:hAnsi="Calibri" w:cs="Times New Roman"/>
          <w:sz w:val="20"/>
          <w:szCs w:val="20"/>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spacing w:before="3640" w:after="240" w:line="240" w:lineRule="auto"/>
        <w:contextualSpacing/>
        <w:rPr>
          <w:rFonts w:ascii="Calibri Light" w:eastAsia="Calibri" w:hAnsi="Calibri Light" w:cs="Times New Roman"/>
          <w:b/>
          <w:caps/>
          <w:sz w:val="48"/>
          <w:szCs w:val="68"/>
          <w:lang w:eastAsia="nl-BE"/>
        </w:rPr>
      </w:pPr>
      <w:sdt>
        <w:sdtPr>
          <w:alias w:val="Titre de la fonction"/>
          <w:id w:val="-1696617321"/>
          <w:dataBinding w:prefixMappings="xmlns:ns0='http://schemas.microsoft.com/office/2006/coverPageProps' " w:xpath="/ns0:CoverPageProperties[1]/ns0:CompanyAddress[1]" w:storeItemID="{55AF091B-3C7A-41E3-B477-F2FDAA23CFDA}"/>
          <w:text/>
        </w:sdtPr>
        <w:sdtContent>
          <w:r>
            <w:rPr>
              <w:rFonts w:ascii="Calibri Light" w:eastAsia="Calibri" w:hAnsi="Calibri Light" w:cs="Times New Roman"/>
              <w:b/>
              <w:caps/>
              <w:color w:val="0A0F16"/>
              <w:sz w:val="68"/>
              <w:szCs w:val="68"/>
              <w:lang w:eastAsia="nl-BE"/>
            </w:rPr>
            <w:t>Directeur</w:t>
          </w:r>
        </w:sdtContent>
      </w:sdt>
      <w:r>
        <w:rPr>
          <w:rFonts w:ascii="Calibri Light" w:eastAsia="Calibri" w:hAnsi="Calibri Light" w:cs="Times New Roman"/>
          <w:b/>
          <w:caps/>
          <w:sz w:val="68"/>
          <w:szCs w:val="68"/>
          <w:lang w:eastAsia="nl-BE"/>
        </w:rPr>
        <w:t xml:space="preserve"> </w:t>
      </w:r>
      <w:r>
        <w:rPr>
          <w:rFonts w:ascii="Calibri Light" w:eastAsia="Calibri" w:hAnsi="Calibri Light" w:cs="Times New Roman"/>
          <w:b/>
          <w:caps/>
          <w:sz w:val="48"/>
          <w:szCs w:val="68"/>
          <w:lang w:eastAsia="nl-BE"/>
        </w:rPr>
        <w:t>(h/f/x)</w:t>
      </w:r>
    </w:p>
    <w:p>
      <w:pPr>
        <w:spacing w:after="0" w:line="240" w:lineRule="auto"/>
        <w:rPr>
          <w:rFonts w:ascii="Times New Roman" w:eastAsia="Times New Roman" w:hAnsi="Times New Roman" w:cs="Times New Roman"/>
          <w:color w:val="7F7F7F"/>
          <w:sz w:val="24"/>
          <w:szCs w:val="24"/>
          <w:lang w:eastAsia="fr-FR"/>
        </w:rPr>
      </w:pPr>
    </w:p>
    <w:sdt>
      <w:sdtPr>
        <w:alias w:val="Service"/>
        <w:id w:val="1739652470"/>
        <w:dataBinding w:prefixMappings="xmlns:ns0='http://purl.org/dc/elements/1.1/' xmlns:ns1='http://schemas.openxmlformats.org/package/2006/metadata/core-properties' " w:xpath="/ns1:coreProperties[1]/ns0:creator[1]" w:storeItemID="{6C3C8BC8-F283-45AE-878A-BAB7291924A1}"/>
        <w:text/>
      </w:sdtPr>
      <w:sdtContent>
        <w:p>
          <w:pPr>
            <w:spacing w:after="0" w:line="273" w:lineRule="auto"/>
            <w:ind w:left="426"/>
            <w:rPr>
              <w:rFonts w:ascii="Calibri Light" w:eastAsia="Calibri" w:hAnsi="Calibri Light" w:cs="Calibri Light"/>
              <w:b/>
              <w:sz w:val="48"/>
              <w:szCs w:val="44"/>
              <w:u w:val="single" w:color="C9282D"/>
            </w:rPr>
          </w:pPr>
          <w:r>
            <w:rPr>
              <w:rFonts w:ascii="Calibri Light" w:eastAsia="Calibri" w:hAnsi="Calibri Light" w:cs="Calibri Light"/>
              <w:b/>
              <w:color w:val="000000" w:themeColor="text1"/>
              <w:sz w:val="48"/>
              <w:szCs w:val="44"/>
              <w:u w:val="single" w:color="C9282D"/>
            </w:rPr>
            <w:t>École Fondamentale annexée</w:t>
          </w:r>
        </w:p>
      </w:sdtContent>
    </w:sdt>
    <w:p>
      <w:pPr>
        <w:spacing w:after="0" w:line="240" w:lineRule="auto"/>
        <w:ind w:firstLine="426"/>
        <w:rPr>
          <w:rFonts w:ascii="Calibri Light" w:eastAsia="Times New Roman" w:hAnsi="Calibri Light" w:cs="Calibri Light"/>
          <w:b/>
          <w:sz w:val="36"/>
          <w:szCs w:val="24"/>
          <w:lang w:eastAsia="fr-FR"/>
        </w:rPr>
      </w:pPr>
    </w:p>
    <w:p>
      <w:pPr>
        <w:spacing w:after="0" w:line="240" w:lineRule="auto"/>
        <w:ind w:firstLine="708"/>
        <w:jc w:val="center"/>
        <w:rPr>
          <w:rFonts w:ascii="Calibri Light" w:eastAsia="Times New Roman" w:hAnsi="Calibri Light" w:cs="Calibri Light"/>
          <w:b/>
          <w:sz w:val="36"/>
          <w:szCs w:val="24"/>
          <w:u w:val="single" w:color="F4AA00"/>
          <w:lang w:eastAsia="fr-FR"/>
        </w:rPr>
      </w:pPr>
      <w:r>
        <w:rPr>
          <w:rFonts w:ascii="Calibri Light" w:eastAsia="Times New Roman" w:hAnsi="Calibri Light" w:cs="Calibri Light"/>
          <w:b/>
          <w:color w:val="000000" w:themeColor="text1"/>
          <w:sz w:val="36"/>
          <w:szCs w:val="24"/>
          <w:u w:val="single" w:color="F4AA00"/>
          <w:lang w:eastAsia="fr-FR"/>
        </w:rPr>
        <w:t>Établissement : École fondamentale annexée à l’Athénée Royal Leonardo Da Vinci d’Anderlecht – Implantation des Goujons</w:t>
      </w:r>
    </w:p>
    <w:p>
      <w:pPr>
        <w:spacing w:after="0" w:line="240" w:lineRule="auto"/>
        <w:ind w:firstLine="426"/>
        <w:rPr>
          <w:rFonts w:ascii="Calibri Light" w:eastAsia="Times New Roman" w:hAnsi="Calibri Light" w:cs="Calibri Light"/>
          <w:b/>
          <w:sz w:val="36"/>
          <w:szCs w:val="24"/>
          <w:lang w:eastAsia="fr-FR"/>
        </w:rPr>
      </w:pPr>
    </w:p>
    <w:p>
      <w:pPr>
        <w:spacing w:after="0" w:line="240" w:lineRule="auto"/>
        <w:ind w:firstLine="426"/>
        <w:rPr>
          <w:rFonts w:ascii="Calibri Light" w:eastAsia="Times New Roman" w:hAnsi="Calibri Light" w:cs="Calibri Light"/>
          <w:b/>
          <w:color w:val="000000" w:themeColor="text1"/>
          <w:sz w:val="36"/>
          <w:szCs w:val="24"/>
          <w:u w:val="single" w:color="001D77"/>
          <w:lang w:eastAsia="fr-FR"/>
        </w:rPr>
        <w:sectPr>
          <w:headerReference w:type="first" r:id="rId18"/>
          <w:pgSz w:w="11906" w:h="16838"/>
          <w:pgMar w:top="1417" w:right="1417" w:bottom="1417" w:left="1417" w:header="567" w:footer="227" w:gutter="0"/>
          <w:cols w:space="720"/>
          <w:formProt w:val="0"/>
          <w:titlePg/>
          <w:docGrid w:linePitch="326" w:charSpace="4096"/>
        </w:sectPr>
      </w:pPr>
      <w:r>
        <w:rPr>
          <w:rFonts w:ascii="Calibri Light" w:eastAsia="Times New Roman" w:hAnsi="Calibri Light" w:cs="Calibri Light"/>
          <w:b/>
          <w:sz w:val="36"/>
          <w:szCs w:val="24"/>
          <w:lang w:eastAsia="fr-FR"/>
        </w:rPr>
        <w:tab/>
      </w:r>
      <w:r>
        <w:rPr>
          <w:rFonts w:ascii="Calibri Light" w:eastAsia="Times New Roman" w:hAnsi="Calibri Light" w:cs="Calibri Light"/>
          <w:b/>
          <w:sz w:val="36"/>
          <w:szCs w:val="24"/>
          <w:lang w:eastAsia="fr-FR"/>
        </w:rPr>
        <w:tab/>
      </w:r>
      <w:r>
        <w:rPr>
          <w:rFonts w:ascii="Calibri Light" w:eastAsia="Times New Roman" w:hAnsi="Calibri Light" w:cs="Calibri Light"/>
          <w:b/>
          <w:sz w:val="36"/>
          <w:szCs w:val="24"/>
          <w:lang w:eastAsia="fr-FR"/>
        </w:rPr>
        <w:tab/>
      </w:r>
      <w:r>
        <w:rPr>
          <w:rFonts w:ascii="Calibri Light" w:eastAsia="Times New Roman" w:hAnsi="Calibri Light" w:cs="Calibri Light"/>
          <w:b/>
          <w:color w:val="000000" w:themeColor="text1"/>
          <w:sz w:val="36"/>
          <w:szCs w:val="24"/>
          <w:u w:val="single" w:color="001D77"/>
          <w:lang w:eastAsia="fr-FR"/>
        </w:rPr>
        <w:t xml:space="preserve">Référence : </w:t>
      </w:r>
      <w:bookmarkStart w:id="3" w:name="_Toc489775823"/>
      <w:bookmarkStart w:id="4" w:name="_Toc495298909"/>
      <w:bookmarkStart w:id="5" w:name="_Toc496000780"/>
      <w:bookmarkStart w:id="6" w:name="_Toc496507100"/>
      <w:bookmarkEnd w:id="3"/>
      <w:bookmarkEnd w:id="4"/>
      <w:bookmarkEnd w:id="5"/>
      <w:bookmarkEnd w:id="6"/>
      <w:r>
        <w:rPr>
          <w:rFonts w:ascii="Calibri Light" w:eastAsia="Times New Roman" w:hAnsi="Calibri Light" w:cs="Calibri Light"/>
          <w:b/>
          <w:color w:val="000000" w:themeColor="text1"/>
          <w:sz w:val="36"/>
          <w:szCs w:val="24"/>
          <w:u w:val="single" w:color="001D77"/>
          <w:lang w:eastAsia="fr-FR"/>
        </w:rPr>
        <w:t xml:space="preserve"> WBE CE 2020 010</w:t>
      </w:r>
    </w:p>
    <w:tbl>
      <w:tblPr>
        <w:tblpPr w:leftFromText="141" w:rightFromText="141" w:vertAnchor="text" w:horzAnchor="margin" w:tblpY="-799"/>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C9282D"/>
            <w:vAlign w:val="center"/>
          </w:tcPr>
          <w:p>
            <w:pPr>
              <w:tabs>
                <w:tab w:val="left" w:pos="1985"/>
              </w:tabs>
              <w:spacing w:after="0" w:line="240" w:lineRule="auto"/>
              <w:ind w:left="181"/>
              <w:jc w:val="center"/>
              <w:rPr>
                <w:rFonts w:ascii="Calibri" w:eastAsia="Times New Roman" w:hAnsi="Calibri" w:cs="Times New Roman"/>
                <w:b/>
                <w:color w:val="FFFFFF"/>
                <w:sz w:val="20"/>
                <w:szCs w:val="20"/>
                <w:lang w:eastAsia="fr-FR"/>
              </w:rPr>
            </w:pPr>
            <w:r>
              <w:rPr>
                <w:rFonts w:eastAsia="Times New Roman" w:cs="Times New Roman"/>
                <w:b/>
                <w:color w:val="FFFFFF"/>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tabs>
          <w:tab w:val="left" w:pos="1985"/>
        </w:tabs>
        <w:spacing w:after="0" w:line="240" w:lineRule="auto"/>
        <w:jc w:val="center"/>
        <w:rPr>
          <w:rFonts w:ascii="Calibri" w:eastAsia="Times New Roman" w:hAnsi="Calibri" w:cs="Times New Roman"/>
          <w:color w:val="000000"/>
          <w:sz w:val="28"/>
          <w:u w:val="single"/>
          <w:lang w:eastAsia="fr-FR"/>
        </w:rPr>
      </w:pPr>
    </w:p>
    <w:p>
      <w:pPr>
        <w:shd w:val="clear" w:color="auto" w:fill="C9282D"/>
        <w:tabs>
          <w:tab w:val="left" w:pos="1985"/>
        </w:tabs>
        <w:spacing w:after="0" w:line="240" w:lineRule="auto"/>
        <w:jc w:val="center"/>
        <w:rPr>
          <w:rFonts w:ascii="Calibri" w:eastAsia="Times New Roman" w:hAnsi="Calibri" w:cs="Times New Roman"/>
          <w:i/>
          <w:color w:val="000000"/>
          <w:sz w:val="28"/>
          <w:lang w:eastAsia="fr-FR"/>
        </w:rPr>
      </w:pPr>
      <w:r>
        <w:rPr>
          <w:rFonts w:eastAsia="Times New Roman" w:cs="Times New Roman"/>
          <w:i/>
          <w:color w:val="FFFFFF" w:themeColor="background1"/>
          <w:sz w:val="28"/>
          <w:lang w:eastAsia="fr-FR"/>
        </w:rPr>
        <w:t>Mission de la fonction</w:t>
      </w:r>
    </w:p>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br/>
        <w:t>Le.a directeur</w:t>
      </w:r>
      <w:r>
        <w:rPr>
          <w:rFonts w:eastAsia="Times New Roman" w:cs="Times New Roman"/>
          <w:color w:val="000000"/>
          <w:sz w:val="16"/>
          <w:lang w:eastAsia="fr-FR"/>
        </w:rPr>
        <w:t>•</w:t>
      </w:r>
      <w:r>
        <w:rPr>
          <w:rFonts w:eastAsia="Times New Roman" w:cs="Times New Roman"/>
          <w:color w:val="000000"/>
          <w:lang w:eastAsia="fr-FR"/>
        </w:rPr>
        <w:t xml:space="preserve">rice a une compétence générale de pilotage et d’organisation de l’établissement. </w:t>
      </w:r>
      <w:r>
        <w:rPr>
          <w:rFonts w:eastAsia="Times New Roman" w:cs="Times New Roman"/>
          <w:color w:val="000000"/>
          <w:lang w:eastAsia="fr-FR"/>
        </w:rPr>
        <w:br/>
        <w:t>Il/Elle assume les responsabilités que son pouvoir organisateur, WBE, lui confie dans le cadre fixé par la lettre de mission.</w:t>
      </w:r>
    </w:p>
    <w:tbl>
      <w:tblPr>
        <w:tblpPr w:leftFromText="141" w:rightFromText="141" w:vertAnchor="text" w:horzAnchor="margin" w:tblpY="552"/>
        <w:tblW w:w="8078" w:type="dxa"/>
        <w:tblCellMar>
          <w:left w:w="70" w:type="dxa"/>
          <w:right w:w="70" w:type="dxa"/>
        </w:tblCellMar>
        <w:tblLook w:val="0000" w:firstRow="0" w:lastRow="0" w:firstColumn="0" w:lastColumn="0" w:noHBand="0" w:noVBand="0"/>
      </w:tblPr>
      <w:tblGrid>
        <w:gridCol w:w="3155"/>
        <w:gridCol w:w="1685"/>
        <w:gridCol w:w="1249"/>
        <w:gridCol w:w="294"/>
        <w:gridCol w:w="662"/>
        <w:gridCol w:w="1033"/>
      </w:tblGrid>
      <w:tr>
        <w:trPr>
          <w:gridAfter w:val="5"/>
          <w:wAfter w:w="4923" w:type="dxa"/>
          <w:trHeight w:val="311"/>
        </w:trPr>
        <w:tc>
          <w:tcPr>
            <w:tcW w:w="3155" w:type="dxa"/>
            <w:shd w:val="clear" w:color="auto" w:fill="auto"/>
          </w:tcPr>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b/>
                <w:color w:val="000000"/>
                <w:lang w:eastAsia="fr-FR"/>
              </w:rPr>
              <w:t>Relations fonctionnelles :</w:t>
            </w:r>
          </w:p>
        </w:tc>
      </w:tr>
      <w:tr>
        <w:trPr>
          <w:trHeight w:val="460"/>
        </w:trPr>
        <w:tc>
          <w:tcPr>
            <w:tcW w:w="3155" w:type="dxa"/>
            <w:vMerge w:val="restart"/>
            <w:tcBorders>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b/>
                <w:color w:val="000000"/>
                <w:lang w:eastAsia="fr-FR"/>
              </w:rPr>
            </w:pPr>
          </w:p>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b/>
                <w:color w:val="000000"/>
                <w:lang w:eastAsia="fr-FR"/>
              </w:rPr>
              <w:t>Environnement de travail :</w:t>
            </w:r>
          </w:p>
        </w:tc>
        <w:tc>
          <w:tcPr>
            <w:tcW w:w="2934" w:type="dxa"/>
            <w:gridSpan w:val="2"/>
            <w:tcBorders>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C9282D"/>
            <w:vAlign w:val="center"/>
          </w:tcPr>
          <w:p>
            <w:pPr>
              <w:tabs>
                <w:tab w:val="left" w:pos="1985"/>
              </w:tabs>
              <w:spacing w:after="0" w:line="240" w:lineRule="auto"/>
              <w:jc w:val="center"/>
              <w:rPr>
                <w:rFonts w:ascii="Calibri" w:eastAsia="Times New Roman" w:hAnsi="Calibri" w:cs="Times New Roman"/>
                <w:color w:val="FFFFFF" w:themeColor="background1"/>
                <w:sz w:val="20"/>
                <w:szCs w:val="20"/>
                <w:lang w:eastAsia="fr-FR"/>
              </w:rPr>
            </w:pPr>
            <w:r>
              <w:rPr>
                <w:rFonts w:eastAsia="Times New Roman" w:cs="Times New Roman"/>
                <w:color w:val="FFFFFF" w:themeColor="background1"/>
                <w:sz w:val="20"/>
                <w:szCs w:val="20"/>
                <w:lang w:eastAsia="fr-FR"/>
              </w:rPr>
              <w:t>Régulier</w:t>
            </w:r>
          </w:p>
        </w:tc>
        <w:tc>
          <w:tcPr>
            <w:tcW w:w="1033" w:type="dxa"/>
            <w:tcBorders>
              <w:top w:val="single" w:sz="4" w:space="0" w:color="000000"/>
              <w:left w:val="single" w:sz="4" w:space="0" w:color="000000"/>
              <w:bottom w:val="single" w:sz="4" w:space="0" w:color="000000"/>
              <w:right w:val="single" w:sz="4" w:space="0" w:color="000000"/>
            </w:tcBorders>
            <w:shd w:val="clear" w:color="auto" w:fill="C9282D"/>
            <w:vAlign w:val="center"/>
          </w:tcPr>
          <w:p>
            <w:pPr>
              <w:tabs>
                <w:tab w:val="left" w:pos="1985"/>
              </w:tabs>
              <w:spacing w:after="0" w:line="240" w:lineRule="auto"/>
              <w:jc w:val="center"/>
              <w:rPr>
                <w:rFonts w:ascii="Calibri" w:eastAsia="Times New Roman" w:hAnsi="Calibri" w:cs="Times New Roman"/>
                <w:color w:val="FFFFFF" w:themeColor="background1"/>
                <w:sz w:val="20"/>
                <w:szCs w:val="20"/>
                <w:lang w:eastAsia="fr-FR"/>
              </w:rPr>
            </w:pPr>
            <w:r>
              <w:rPr>
                <w:rFonts w:eastAsia="Times New Roman" w:cs="Times New Roman"/>
                <w:color w:val="FFFFFF" w:themeColor="background1"/>
                <w:sz w:val="20"/>
                <w:szCs w:val="20"/>
                <w:lang w:eastAsia="fr-FR"/>
              </w:rPr>
              <w:t>Ponctuel</w:t>
            </w:r>
          </w:p>
        </w:tc>
      </w:tr>
      <w:tr>
        <w:trPr>
          <w:trHeight w:val="460"/>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 Pouvoir Organisateur et le Pouvoir Régulateur</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bookmarkStart w:id="7" w:name="__Fieldmark__318_2749759877"/>
            <w:bookmarkEnd w:id="7"/>
            <w:r>
              <w:fldChar w:fldCharType="end"/>
            </w:r>
          </w:p>
        </w:tc>
      </w:tr>
      <w:tr>
        <w:trPr>
          <w:trHeight w:val="460"/>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 xml:space="preserve">Les </w:t>
            </w:r>
            <w:r>
              <w:rPr>
                <w:rFonts w:eastAsia="Times New Roman" w:cs="Calibri"/>
                <w:bCs/>
                <w:color w:val="000000"/>
                <w:lang w:eastAsia="fr-FR"/>
              </w:rPr>
              <w:t>partenaires et interlocuteurs extérieurs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bookmarkStart w:id="8" w:name="__Fieldmark__324_2749759877"/>
            <w:bookmarkEnd w:id="8"/>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1"/>
                  </w:checkBox>
                </w:ffData>
              </w:fldChar>
            </w:r>
            <w:r>
              <w:instrText xml:space="preserve"> FORMCHECKBOX </w:instrText>
            </w:r>
            <w:r>
              <w:fldChar w:fldCharType="separate"/>
            </w:r>
            <w:r>
              <w:fldChar w:fldCharType="end"/>
            </w:r>
          </w:p>
        </w:tc>
      </w:tr>
      <w:tr>
        <w:trPr>
          <w:trHeight w:val="460"/>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Les médias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bookmarkStart w:id="9" w:name="__Fieldmark__334_2749759877"/>
            <w:bookmarkEnd w:id="9"/>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ed/>
                  </w:checkBox>
                </w:ffData>
              </w:fldChar>
            </w:r>
            <w:r>
              <w:instrText>FORMCHECKBOX</w:instrText>
            </w:r>
            <w:r>
              <w:fldChar w:fldCharType="separate"/>
            </w:r>
            <w:bookmarkStart w:id="10" w:name="__Fieldmark__340_2749759877"/>
            <w:bookmarkEnd w:id="10"/>
            <w:r>
              <w:fldChar w:fldCharType="end"/>
            </w:r>
          </w:p>
        </w:tc>
      </w:tr>
      <w:tr>
        <w:trPr>
          <w:trHeight w:val="460"/>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Les membres du personnel, les élèves, les parents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ed/>
                  </w:checkBox>
                </w:ffData>
              </w:fldChar>
            </w:r>
            <w:r>
              <w:instrText>FORMCHECKBOX</w:instrText>
            </w:r>
            <w:r>
              <w:fldChar w:fldCharType="separate"/>
            </w:r>
            <w:bookmarkStart w:id="11" w:name="__Fieldmark__344_2749759877"/>
            <w:bookmarkEnd w:id="11"/>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bookmarkStart w:id="12" w:name="__Fieldmark__350_2749759877"/>
            <w:bookmarkEnd w:id="12"/>
            <w:r>
              <w:fldChar w:fldCharType="end"/>
            </w:r>
          </w:p>
        </w:tc>
      </w:tr>
      <w:tr>
        <w:trPr>
          <w:gridAfter w:val="5"/>
          <w:wAfter w:w="4923" w:type="dxa"/>
          <w:trHeight w:val="269"/>
        </w:trPr>
        <w:tc>
          <w:tcPr>
            <w:tcW w:w="3155" w:type="dxa"/>
            <w:vMerge/>
            <w:tcBorders>
              <w:top w:val="single" w:sz="4" w:space="0" w:color="000000"/>
              <w:bottom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r>
      <w:tr>
        <w:trPr>
          <w:gridAfter w:val="2"/>
          <w:wAfter w:w="1695" w:type="dxa"/>
          <w:trHeight w:val="460"/>
        </w:trPr>
        <w:tc>
          <w:tcPr>
            <w:tcW w:w="3155" w:type="dxa"/>
            <w:vMerge/>
            <w:tcBorders>
              <w:top w:val="single" w:sz="4" w:space="0" w:color="000000"/>
            </w:tcBorders>
            <w:shd w:val="clear" w:color="auto" w:fill="auto"/>
          </w:tcPr>
          <w:p>
            <w:pPr>
              <w:tabs>
                <w:tab w:val="left" w:pos="1985"/>
              </w:tabs>
              <w:spacing w:after="0" w:line="240" w:lineRule="auto"/>
              <w:jc w:val="both"/>
              <w:rPr>
                <w:rFonts w:ascii="Calibri" w:eastAsia="Times New Roman" w:hAnsi="Calibri" w:cs="Times New Roman"/>
                <w:color w:val="000000"/>
                <w:lang w:eastAsia="fr-FR"/>
              </w:rPr>
            </w:pPr>
          </w:p>
        </w:tc>
        <w:tc>
          <w:tcPr>
            <w:tcW w:w="1685" w:type="dxa"/>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ed/>
                  </w:checkBox>
                </w:ffData>
              </w:fldChar>
            </w:r>
            <w:r>
              <w:instrText>FORMCHECKBOX</w:instrText>
            </w:r>
            <w:r>
              <w:fldChar w:fldCharType="separate"/>
            </w:r>
            <w:bookmarkStart w:id="13" w:name="__Fieldmark__353_2749759877"/>
            <w:bookmarkEnd w:id="13"/>
            <w:r>
              <w:fldChar w:fldCharType="end"/>
            </w:r>
            <w:r>
              <w:rPr>
                <w:rFonts w:eastAsia="Times New Roman" w:cs="Times New Roman"/>
                <w:color w:val="000000"/>
                <w:lang w:eastAsia="fr-FR"/>
              </w:rPr>
              <w:t xml:space="preserve"> Bureau</w:t>
            </w:r>
          </w:p>
        </w:tc>
        <w:tc>
          <w:tcPr>
            <w:tcW w:w="1543" w:type="dxa"/>
            <w:gridSpan w:val="2"/>
            <w:shd w:val="clear" w:color="auto" w:fill="auto"/>
            <w:vAlign w:val="center"/>
          </w:tcPr>
          <w:p>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fldChar w:fldCharType="separate"/>
            </w:r>
            <w:bookmarkStart w:id="14" w:name="__Fieldmark__357_2749759877"/>
            <w:bookmarkEnd w:id="14"/>
            <w:r>
              <w:fldChar w:fldCharType="end"/>
            </w:r>
            <w:r>
              <w:rPr>
                <w:rFonts w:eastAsia="Times New Roman" w:cs="Times New Roman"/>
                <w:color w:val="000000"/>
                <w:lang w:eastAsia="fr-FR"/>
              </w:rPr>
              <w:t xml:space="preserve"> Itinérant</w:t>
            </w:r>
          </w:p>
        </w:tc>
      </w:tr>
      <w:tr>
        <w:trPr>
          <w:gridAfter w:val="5"/>
          <w:wAfter w:w="4923" w:type="dxa"/>
          <w:trHeight w:val="460"/>
        </w:trPr>
        <w:tc>
          <w:tcPr>
            <w:tcW w:w="3155" w:type="dxa"/>
            <w:shd w:val="clear" w:color="auto" w:fill="auto"/>
          </w:tcPr>
          <w:p/>
        </w:tc>
      </w:tr>
    </w:tbl>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hd w:val="clear" w:color="auto" w:fill="C9282D"/>
        <w:tabs>
          <w:tab w:val="left" w:pos="1985"/>
        </w:tabs>
        <w:spacing w:after="0" w:line="240" w:lineRule="auto"/>
        <w:jc w:val="center"/>
        <w:rPr>
          <w:rFonts w:ascii="Calibri" w:eastAsia="Times New Roman" w:hAnsi="Calibri" w:cs="Times New Roman"/>
          <w:i/>
          <w:color w:val="000000"/>
          <w:sz w:val="28"/>
          <w:lang w:eastAsia="fr-FR"/>
        </w:rPr>
      </w:pPr>
      <w:r>
        <w:rPr>
          <w:rFonts w:eastAsia="Times New Roman" w:cs="Times New Roman"/>
          <w:i/>
          <w:color w:val="FFFFFF" w:themeColor="background1"/>
          <w:sz w:val="28"/>
          <w:lang w:eastAsia="fr-FR"/>
        </w:rPr>
        <w:t>Missions de WBE en tant que pouvoir organisateur</w:t>
      </w:r>
    </w:p>
    <w:p>
      <w:pPr>
        <w:tabs>
          <w:tab w:val="left" w:pos="1985"/>
        </w:tabs>
        <w:spacing w:after="0" w:line="240" w:lineRule="auto"/>
        <w:jc w:val="both"/>
        <w:rPr>
          <w:rFonts w:ascii="Calibri" w:eastAsia="Times New Roman" w:hAnsi="Calibri" w:cs="Times New Roman"/>
          <w:b/>
          <w:color w:val="000000"/>
          <w:lang w:eastAsia="fr-FR"/>
        </w:rPr>
      </w:pPr>
    </w:p>
    <w:p>
      <w:pPr>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Wallonie Bruxelles Enseignement (WBE)</w:t>
      </w:r>
      <w:r>
        <w:rPr>
          <w:rFonts w:eastAsia="Times New Roman" w:cs="Times New Roman"/>
          <w:b/>
          <w:bCs/>
          <w:color w:val="000000"/>
          <w:lang w:eastAsia="fr-FR"/>
        </w:rPr>
        <w:t xml:space="preserve"> est le plus important pouvoir organisateur d’enseignement dans l’espace belge francophone. Nous</w:t>
      </w:r>
      <w:r>
        <w:rPr>
          <w:rFonts w:eastAsia="Times New Roman" w:cs="Times New Roman"/>
          <w:color w:val="000000"/>
          <w:lang w:eastAsia="fr-FR"/>
        </w:rPr>
        <w:t xml:space="preserve"> rassemblons 365 établissements scolaires </w:t>
      </w:r>
      <w:r>
        <w:rPr>
          <w:rFonts w:eastAsia="Times New Roman" w:cs="Times New Roman"/>
          <w:b/>
          <w:bCs/>
          <w:color w:val="000000"/>
          <w:lang w:eastAsia="fr-FR"/>
        </w:rPr>
        <w:t>et 150 institutions apparentées (internats, centres PMS, etc.), </w:t>
      </w:r>
      <w:r>
        <w:rPr>
          <w:rFonts w:eastAsia="Times New Roman" w:cs="Times New Roman"/>
          <w:color w:val="000000"/>
          <w:lang w:eastAsia="fr-FR"/>
        </w:rPr>
        <w:t>répartis sur l’ensemble du territoire de la Fédération Wallonie-Bruxelles.</w:t>
      </w:r>
    </w:p>
    <w:p>
      <w:pPr>
        <w:spacing w:after="0" w:line="240" w:lineRule="auto"/>
        <w:jc w:val="both"/>
        <w:rPr>
          <w:rFonts w:ascii="Calibri" w:eastAsia="Times New Roman" w:hAnsi="Calibri" w:cs="Times New Roman"/>
          <w:color w:val="000000"/>
          <w:lang w:eastAsia="fr-FR"/>
        </w:rPr>
      </w:pPr>
    </w:p>
    <w:p>
      <w:pPr>
        <w:spacing w:after="0" w:line="240" w:lineRule="auto"/>
        <w:jc w:val="both"/>
        <w:rPr>
          <w:rFonts w:ascii="Calibri" w:eastAsia="Times New Roman" w:hAnsi="Calibri" w:cs="Times New Roman"/>
          <w:color w:val="000000"/>
          <w:lang w:eastAsia="fr-FR"/>
        </w:rPr>
      </w:pPr>
      <w:r>
        <w:rPr>
          <w:rFonts w:eastAsia="Times New Roman" w:cs="Times New Roman"/>
          <w:b/>
          <w:bCs/>
          <w:color w:val="000000"/>
          <w:lang w:eastAsia="fr-FR"/>
        </w:rPr>
        <w:t xml:space="preserve">Ce service public accueille </w:t>
      </w:r>
      <w:r>
        <w:rPr>
          <w:rFonts w:eastAsia="Times New Roman" w:cs="Times New Roman"/>
          <w:color w:val="000000"/>
          <w:lang w:eastAsia="fr-FR"/>
        </w:rPr>
        <w:t>plus de 211 000 élèves ou étudiants de la maternelle à l’enseignement supérieur et emploie plus de 30 000 personnes. WBE, c’est aussi 3.200.000 m² de bâtiments scolaires distribués sur 800 sites géographiques.</w:t>
      </w:r>
    </w:p>
    <w:p>
      <w:pPr>
        <w:spacing w:after="0" w:line="240" w:lineRule="auto"/>
        <w:jc w:val="both"/>
        <w:rPr>
          <w:rFonts w:ascii="Calibri" w:eastAsia="Times New Roman" w:hAnsi="Calibri" w:cs="Times New Roman"/>
          <w:color w:val="000000"/>
          <w:lang w:eastAsia="fr-FR"/>
        </w:rPr>
      </w:pPr>
    </w:p>
    <w:p>
      <w:pPr>
        <w:spacing w:after="0" w:line="240" w:lineRule="auto"/>
        <w:jc w:val="both"/>
      </w:pPr>
      <w:r>
        <w:rPr>
          <w:rFonts w:eastAsia="Times New Roman" w:cs="Times New Roman"/>
          <w:color w:val="000000"/>
          <w:lang w:eastAsia="fr-FR"/>
        </w:rPr>
        <w:t>Le décret spécial du 7 février 2019 crée un organisme public autonome chargé de la compétence de pouvoir organisateur de l’Enseignement organisé par la Communauté française.</w:t>
      </w:r>
    </w:p>
    <w:p>
      <w:pPr>
        <w:spacing w:after="0" w:line="240" w:lineRule="auto"/>
        <w:jc w:val="both"/>
        <w:rPr>
          <w:rFonts w:ascii="Calibri" w:eastAsia="Times New Roman" w:hAnsi="Calibri" w:cs="Times New Roman"/>
          <w:color w:val="000000"/>
          <w:lang w:eastAsia="fr-FR"/>
        </w:rPr>
      </w:pPr>
    </w:p>
    <w:p>
      <w:pPr>
        <w:spacing w:after="0" w:line="240" w:lineRule="auto"/>
        <w:jc w:val="both"/>
        <w:rPr>
          <w:rFonts w:eastAsia="Times New Roman" w:cs="Times New Roman"/>
          <w:color w:val="000000"/>
          <w:lang w:eastAsia="fr-FR"/>
        </w:rPr>
      </w:pPr>
      <w:r>
        <w:rPr>
          <w:rFonts w:eastAsia="Times New Roman" w:cs="Times New Roman"/>
          <w:color w:val="000000"/>
          <w:lang w:eastAsia="fr-FR"/>
        </w:rPr>
        <w:t>La mission générale de WBE est de participer à l'organisation, à la bonne marche et au développement de ses établissements, au bénéfice de tous ses membres du personnel et, à travers eux, de tous ses élèves et étudiants.</w:t>
      </w:r>
    </w:p>
    <w:p>
      <w:pPr>
        <w:spacing w:after="0" w:line="240" w:lineRule="auto"/>
        <w:jc w:val="both"/>
        <w:rPr>
          <w:rFonts w:eastAsia="Times New Roman" w:cs="Times New Roman"/>
          <w:color w:val="000000"/>
          <w:lang w:eastAsia="fr-FR"/>
        </w:rPr>
      </w:pPr>
    </w:p>
    <w:p>
      <w:pPr>
        <w:spacing w:after="0" w:line="240" w:lineRule="auto"/>
        <w:jc w:val="both"/>
        <w:rPr>
          <w:rFonts w:eastAsia="Times New Roman" w:cs="Times New Roman"/>
          <w:color w:val="000000"/>
          <w:lang w:eastAsia="fr-FR"/>
        </w:rPr>
      </w:pPr>
    </w:p>
    <w:p>
      <w:pPr>
        <w:spacing w:after="0" w:line="240" w:lineRule="auto"/>
        <w:jc w:val="both"/>
        <w:rPr>
          <w:rFonts w:eastAsia="Times New Roman" w:cs="Times New Roman"/>
          <w:color w:val="000000"/>
          <w:lang w:eastAsia="fr-FR"/>
        </w:rPr>
      </w:pPr>
    </w:p>
    <w:p>
      <w:pPr>
        <w:spacing w:after="0" w:line="240" w:lineRule="auto"/>
        <w:jc w:val="both"/>
        <w:rPr>
          <w:rFonts w:eastAsia="Times New Roman" w:cs="Times New Roman"/>
          <w:color w:val="000000"/>
          <w:lang w:eastAsia="fr-FR"/>
        </w:rPr>
      </w:pPr>
    </w:p>
    <w:p>
      <w:pPr>
        <w:spacing w:after="0" w:line="240" w:lineRule="auto"/>
        <w:jc w:val="both"/>
        <w:rPr>
          <w:rFonts w:eastAsia="Times New Roman" w:cs="Times New Roman"/>
          <w:color w:val="000000"/>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p>
      <w:pPr>
        <w:spacing w:after="0" w:line="240" w:lineRule="auto"/>
        <w:jc w:val="center"/>
        <w:rPr>
          <w:rFonts w:ascii="Calibri" w:eastAsia="Times New Roman" w:hAnsi="Calibri" w:cs="Times New Roman"/>
          <w:color w:val="000000"/>
          <w:sz w:val="28"/>
          <w:u w:val="single"/>
          <w:lang w:eastAsia="fr-FR"/>
        </w:rPr>
      </w:pPr>
    </w:p>
    <w:tbl>
      <w:tblPr>
        <w:tblpPr w:leftFromText="141" w:rightFromText="141" w:vertAnchor="text" w:horzAnchor="margin" w:tblpXSpec="center" w:tblpY="-911"/>
        <w:tblW w:w="8673" w:type="dxa"/>
        <w:jc w:val="center"/>
        <w:tblCellMar>
          <w:left w:w="70" w:type="dxa"/>
          <w:right w:w="70" w:type="dxa"/>
        </w:tblCellMar>
        <w:tblLook w:val="0000" w:firstRow="0" w:lastRow="0" w:firstColumn="0" w:lastColumn="0" w:noHBand="0" w:noVBand="0"/>
      </w:tblPr>
      <w:tblGrid>
        <w:gridCol w:w="2891"/>
        <w:gridCol w:w="2891"/>
        <w:gridCol w:w="2891"/>
      </w:tblGrid>
      <w:tr>
        <w:trPr>
          <w:trHeight w:val="499"/>
          <w:jc w:val="center"/>
        </w:trPr>
        <w:tc>
          <w:tcPr>
            <w:tcW w:w="2891" w:type="dxa"/>
            <w:shd w:val="clear" w:color="auto" w:fill="C9282D"/>
            <w:vAlign w:val="center"/>
          </w:tcPr>
          <w:p>
            <w:pPr>
              <w:tabs>
                <w:tab w:val="left" w:pos="1985"/>
              </w:tabs>
              <w:spacing w:after="0" w:line="240" w:lineRule="auto"/>
              <w:ind w:left="181"/>
              <w:jc w:val="center"/>
              <w:rPr>
                <w:rFonts w:ascii="Calibri" w:eastAsia="Times New Roman" w:hAnsi="Calibri" w:cs="Times New Roman"/>
                <w:b/>
                <w:color w:val="FFFFFF"/>
                <w:sz w:val="20"/>
                <w:szCs w:val="20"/>
                <w:lang w:eastAsia="fr-FR"/>
              </w:rPr>
            </w:pPr>
            <w:r>
              <w:rPr>
                <w:rFonts w:eastAsia="Times New Roman" w:cs="Times New Roman"/>
                <w:b/>
                <w:color w:val="FFFFFF"/>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shd w:val="clear" w:color="auto" w:fill="C9282D"/>
        <w:tabs>
          <w:tab w:val="left" w:pos="1985"/>
        </w:tabs>
        <w:spacing w:after="0" w:line="240" w:lineRule="auto"/>
        <w:jc w:val="center"/>
        <w:rPr>
          <w:rFonts w:ascii="Calibri" w:eastAsia="Times New Roman" w:hAnsi="Calibri" w:cs="Times New Roman"/>
          <w:i/>
          <w:color w:val="FFFFFF" w:themeColor="background1"/>
          <w:sz w:val="28"/>
          <w:lang w:eastAsia="fr-FR"/>
        </w:rPr>
      </w:pPr>
      <w:r>
        <w:rPr>
          <w:rFonts w:eastAsia="Times New Roman" w:cs="Times New Roman"/>
          <w:i/>
          <w:color w:val="FFFFFF" w:themeColor="background1"/>
          <w:sz w:val="28"/>
          <w:lang w:eastAsia="fr-FR"/>
        </w:rPr>
        <w:t>Charte des valeurs de WBE</w:t>
      </w:r>
    </w:p>
    <w:p>
      <w:pPr>
        <w:spacing w:after="0" w:line="240" w:lineRule="auto"/>
        <w:rPr>
          <w:rFonts w:ascii="Times New Roman" w:eastAsia="Times New Roman" w:hAnsi="Times New Roman" w:cs="Times New Roman"/>
          <w:color w:val="000000"/>
          <w:sz w:val="24"/>
          <w:szCs w:val="24"/>
          <w:lang w:val="fr-FR" w:eastAsia="fr-FR"/>
        </w:rPr>
      </w:pPr>
    </w:p>
    <w:p>
      <w:pPr>
        <w:spacing w:after="0" w:line="240" w:lineRule="auto"/>
        <w:jc w:val="both"/>
        <w:rPr>
          <w:rFonts w:ascii="Calibri" w:eastAsia="Times New Roman" w:hAnsi="Calibri" w:cs="Calibri"/>
          <w:color w:val="000000"/>
          <w:szCs w:val="24"/>
          <w:lang w:val="fr-FR" w:eastAsia="fr-FR"/>
        </w:rPr>
      </w:pPr>
      <w:r>
        <w:rPr>
          <w:rFonts w:eastAsia="Times New Roman" w:cs="Calibri"/>
          <w:color w:val="000000"/>
          <w:szCs w:val="24"/>
          <w:lang w:val="fr-FR" w:eastAsia="fr-FR"/>
        </w:rPr>
        <w:t xml:space="preserve">WBE, par l’engagement et la qualité du travail des membres de son personnel, offre à chaque étudiant, à chaque élève et à sa famille, la possibilité de vivre et de partager des valeurs essentielles : </w:t>
      </w:r>
    </w:p>
    <w:p>
      <w:pPr>
        <w:spacing w:after="0" w:line="240" w:lineRule="auto"/>
        <w:jc w:val="both"/>
        <w:rPr>
          <w:rFonts w:ascii="Calibri" w:eastAsia="Times New Roman" w:hAnsi="Calibri" w:cs="Calibri"/>
          <w:color w:val="000000"/>
          <w:szCs w:val="24"/>
          <w:lang w:val="fr-FR" w:eastAsia="fr-FR"/>
        </w:rPr>
      </w:pPr>
    </w:p>
    <w:p>
      <w:pPr>
        <w:spacing w:after="0" w:line="240" w:lineRule="auto"/>
        <w:jc w:val="both"/>
        <w:rPr>
          <w:rFonts w:ascii="Calibri" w:eastAsia="Times New Roman" w:hAnsi="Calibri" w:cs="Calibri"/>
          <w:b/>
          <w:bCs/>
          <w:i/>
          <w:color w:val="000000"/>
          <w:szCs w:val="27"/>
          <w:lang w:val="fr-FR" w:eastAsia="fr-FR"/>
        </w:rPr>
      </w:pPr>
      <w:r>
        <w:rPr>
          <w:rFonts w:eastAsia="Times New Roman" w:cs="Calibri"/>
          <w:b/>
          <w:bCs/>
          <w:i/>
          <w:color w:val="000000"/>
          <w:szCs w:val="27"/>
          <w:lang w:val="fr-FR" w:eastAsia="fr-FR"/>
        </w:rPr>
        <w:t>Démocratie</w:t>
      </w:r>
    </w:p>
    <w:p>
      <w:pPr>
        <w:spacing w:after="0" w:line="240" w:lineRule="auto"/>
        <w:jc w:val="both"/>
        <w:rPr>
          <w:rFonts w:ascii="Calibri" w:eastAsia="Times New Roman" w:hAnsi="Calibri" w:cs="Calibri"/>
          <w:color w:val="000000"/>
          <w:szCs w:val="27"/>
          <w:lang w:val="fr-FR" w:eastAsia="fr-FR"/>
        </w:rPr>
      </w:pPr>
      <w:r>
        <w:rPr>
          <w:rFonts w:eastAsia="Times New Roman" w:cs="Calibri"/>
          <w:color w:val="000000"/>
          <w:szCs w:val="27"/>
          <w:lang w:val="fr-FR" w:eastAsia="fr-FR"/>
        </w:rPr>
        <w:t>WBE forme les élèves et les étudiants au respect des Libertés et des Droits fondamentaux de l’Homme, de la Femme et de l’Enfant. Il suscite l’adhésion des élèves et des étudiants à l’exercice de leur libre arbitre par le développement de connaissances raisonnées et l’exercice de l’esprit critique.</w:t>
      </w:r>
    </w:p>
    <w:p>
      <w:pPr>
        <w:spacing w:after="0" w:line="240" w:lineRule="auto"/>
        <w:jc w:val="both"/>
        <w:rPr>
          <w:rFonts w:ascii="Calibri" w:eastAsia="Times New Roman" w:hAnsi="Calibri" w:cs="Calibri"/>
          <w:color w:val="000000"/>
          <w:szCs w:val="27"/>
          <w:lang w:val="fr-FR" w:eastAsia="fr-FR"/>
        </w:rPr>
      </w:pPr>
    </w:p>
    <w:p>
      <w:pPr>
        <w:spacing w:after="0" w:line="240" w:lineRule="auto"/>
        <w:jc w:val="both"/>
        <w:rPr>
          <w:rFonts w:ascii="Calibri" w:eastAsia="Times New Roman" w:hAnsi="Calibri" w:cs="Calibri"/>
          <w:b/>
          <w:bCs/>
          <w:i/>
          <w:color w:val="000000"/>
          <w:szCs w:val="27"/>
          <w:lang w:val="fr-FR" w:eastAsia="fr-FR"/>
        </w:rPr>
      </w:pPr>
      <w:r>
        <w:rPr>
          <w:rFonts w:eastAsia="Times New Roman" w:cs="Calibri"/>
          <w:b/>
          <w:bCs/>
          <w:i/>
          <w:color w:val="000000"/>
          <w:szCs w:val="27"/>
          <w:lang w:val="fr-FR" w:eastAsia="fr-FR"/>
        </w:rPr>
        <w:t>Ouverture et démarche scientifique</w:t>
      </w:r>
    </w:p>
    <w:p>
      <w:pPr>
        <w:spacing w:after="0" w:line="240" w:lineRule="auto"/>
        <w:jc w:val="both"/>
        <w:rPr>
          <w:rFonts w:ascii="Calibri" w:eastAsia="Times New Roman" w:hAnsi="Calibri" w:cs="Calibri"/>
          <w:color w:val="000000"/>
          <w:szCs w:val="27"/>
          <w:lang w:val="fr-FR" w:eastAsia="fr-FR"/>
        </w:rPr>
      </w:pPr>
      <w:r>
        <w:rPr>
          <w:rFonts w:eastAsia="Times New Roman" w:cs="Calibri"/>
          <w:color w:val="000000"/>
          <w:szCs w:val="27"/>
          <w:lang w:val="fr-FR" w:eastAsia="fr-FR"/>
        </w:rPr>
        <w:t>WBE forme des citoyens libres, responsables, ouverts sur le monde et sa diversité culturelle. L’apprentissage de la citoyenneté s’opère au travers d’une culture du respect, de la compréhension de l’autre et de la solidarité avec autrui.</w:t>
      </w:r>
    </w:p>
    <w:p>
      <w:pPr>
        <w:shd w:val="clear" w:color="auto" w:fill="FFFFFF"/>
        <w:spacing w:after="15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Il développe le goût des élèves et des étudiants à rechercher la vérité avec une constante honnêteté intellectuelle, toute de rigueur, d’objectivité, de rationalité et de tolérance.</w:t>
      </w:r>
    </w:p>
    <w:p>
      <w:pPr>
        <w:shd w:val="clear" w:color="auto" w:fill="FFFFFF"/>
        <w:spacing w:after="0" w:line="240" w:lineRule="auto"/>
        <w:jc w:val="both"/>
        <w:rPr>
          <w:rFonts w:ascii="Calibri" w:eastAsia="Times New Roman" w:hAnsi="Calibri" w:cs="Calibri"/>
          <w:b/>
          <w:bCs/>
          <w:i/>
          <w:color w:val="000000"/>
          <w:szCs w:val="27"/>
          <w:lang w:eastAsia="fr-BE"/>
        </w:rPr>
      </w:pPr>
      <w:r>
        <w:rPr>
          <w:rFonts w:eastAsia="Times New Roman" w:cs="Calibri"/>
          <w:b/>
          <w:bCs/>
          <w:i/>
          <w:color w:val="000000"/>
          <w:szCs w:val="27"/>
          <w:lang w:eastAsia="fr-BE"/>
        </w:rPr>
        <w:t>Respect et neutralité</w:t>
      </w:r>
    </w:p>
    <w:p>
      <w:pPr>
        <w:shd w:val="clear" w:color="auto" w:fill="FFFFFF"/>
        <w:spacing w:after="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WBE accueille chaque élève et chaque étudiant sans discrimination, dans le respect du règlement de ses établissements scolaires. Il développe chez ceux-ci la liberté de conscience, de pensée, et la leur  garantit. Il stimule leur attachement à user de la liberté d’expression sans jamais dénigrer ni les personnes, ni les savoirs.</w:t>
      </w:r>
    </w:p>
    <w:p>
      <w:pPr>
        <w:shd w:val="clear" w:color="auto" w:fill="FFFFFF"/>
        <w:spacing w:after="0" w:line="240" w:lineRule="auto"/>
        <w:jc w:val="both"/>
        <w:rPr>
          <w:rFonts w:ascii="Calibri" w:eastAsia="Times New Roman" w:hAnsi="Calibri" w:cs="Calibri"/>
          <w:b/>
          <w:bCs/>
          <w:i/>
          <w:color w:val="000000"/>
          <w:szCs w:val="27"/>
          <w:lang w:eastAsia="fr-BE"/>
        </w:rPr>
      </w:pPr>
    </w:p>
    <w:p>
      <w:pPr>
        <w:shd w:val="clear" w:color="auto" w:fill="FFFFFF"/>
        <w:spacing w:after="0" w:line="240" w:lineRule="auto"/>
        <w:jc w:val="both"/>
        <w:rPr>
          <w:rFonts w:ascii="Calibri" w:eastAsia="Times New Roman" w:hAnsi="Calibri" w:cs="Calibri"/>
          <w:b/>
          <w:bCs/>
          <w:i/>
          <w:color w:val="000000"/>
          <w:szCs w:val="27"/>
          <w:lang w:eastAsia="fr-BE"/>
        </w:rPr>
      </w:pPr>
      <w:r>
        <w:rPr>
          <w:rFonts w:eastAsia="Times New Roman" w:cs="Calibri"/>
          <w:b/>
          <w:bCs/>
          <w:i/>
          <w:color w:val="000000"/>
          <w:szCs w:val="27"/>
          <w:lang w:eastAsia="fr-BE"/>
        </w:rPr>
        <w:t>Emancipation sociale</w:t>
      </w:r>
    </w:p>
    <w:p>
      <w:pPr>
        <w:shd w:val="clear" w:color="auto" w:fill="FFFFFF"/>
        <w:spacing w:after="15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WBE travaille au développement libre et graduel de la personnalité de chaque élève et de chaque étudiant. Il vise à les amener à s’approprier les savoirs et à acquérir les compétences pour leur permettre de prendre une place active dans la vie économique, sociale et culturelle. </w:t>
      </w:r>
      <w:r>
        <w:rPr>
          <w:rFonts w:eastAsia="Times New Roman" w:cs="Calibri"/>
          <w:color w:val="000000"/>
          <w:szCs w:val="27"/>
          <w:lang w:eastAsia="fr-BE"/>
        </w:rPr>
        <w:tab/>
      </w:r>
      <w:r>
        <w:rPr>
          <w:rFonts w:eastAsia="Times New Roman" w:cs="Calibri"/>
          <w:color w:val="000000"/>
          <w:szCs w:val="27"/>
          <w:lang w:eastAsia="fr-BE"/>
        </w:rPr>
        <w:br/>
        <w:t>Actif face aux inégalités sociales, WBE soutient les moins favorisés afin qu’aucun choix ne leur soit interdit pour des raisons liées à leur milieu d’origine.</w:t>
      </w:r>
      <w:r>
        <w:rPr>
          <w:rFonts w:eastAsia="Times New Roman" w:cs="Calibri"/>
          <w:color w:val="000000"/>
          <w:szCs w:val="27"/>
          <w:lang w:eastAsia="fr-BE"/>
        </w:rPr>
        <w:tab/>
      </w:r>
      <w:r>
        <w:rPr>
          <w:rFonts w:eastAsia="Times New Roman" w:cs="Calibri"/>
          <w:color w:val="000000"/>
          <w:szCs w:val="27"/>
          <w:lang w:eastAsia="fr-BE"/>
        </w:rPr>
        <w:br/>
        <w:t>Confiants en eux, conscients de leurs potentialités, l’élève et l’étudiant construisent leur émancipation intellectuelle, gage de leur émancipation sociale.</w:t>
      </w:r>
    </w:p>
    <w:p>
      <w:pPr>
        <w:tabs>
          <w:tab w:val="left" w:pos="1985"/>
        </w:tabs>
        <w:spacing w:after="0" w:line="240" w:lineRule="auto"/>
        <w:jc w:val="both"/>
        <w:rPr>
          <w:rFonts w:ascii="Calibri" w:eastAsia="Times New Roman" w:hAnsi="Calibri" w:cs="Times New Roman"/>
          <w:lang w:eastAsia="fr-FR"/>
        </w:rPr>
      </w:pPr>
    </w:p>
    <w:p>
      <w:pPr>
        <w:tabs>
          <w:tab w:val="left" w:pos="1985"/>
        </w:tabs>
        <w:spacing w:after="0" w:line="240" w:lineRule="auto"/>
        <w:jc w:val="both"/>
        <w:rPr>
          <w:rFonts w:ascii="Calibri" w:eastAsia="Times New Roman" w:hAnsi="Calibri" w:cs="Times New Roman"/>
          <w:lang w:eastAsia="fr-FR"/>
        </w:rPr>
      </w:pPr>
    </w:p>
    <w:p>
      <w:pPr>
        <w:spacing w:after="0" w:line="240" w:lineRule="auto"/>
        <w:rPr>
          <w:rFonts w:ascii="Calibri" w:eastAsia="Times New Roman" w:hAnsi="Calibri" w:cs="Times New Roman"/>
          <w:color w:val="000000"/>
          <w:lang w:eastAsia="fr-FR"/>
        </w:rPr>
      </w:pPr>
      <w:r>
        <w:br w:type="page"/>
      </w:r>
    </w:p>
    <w:tbl>
      <w:tblPr>
        <w:tblpPr w:leftFromText="141" w:rightFromText="141" w:vertAnchor="text" w:horzAnchor="margin" w:tblpY="-743"/>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pageBreakBefore/>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tabs>
          <w:tab w:val="left" w:pos="1985"/>
        </w:tabs>
        <w:spacing w:after="0" w:line="240" w:lineRule="auto"/>
        <w:jc w:val="both"/>
        <w:rPr>
          <w:rFonts w:ascii="Calibri" w:eastAsia="Times New Roman" w:hAnsi="Calibri" w:cs="Times New Roman"/>
          <w:lang w:eastAsia="fr-FR"/>
        </w:rPr>
      </w:pPr>
      <w:r>
        <w:rPr>
          <w:rFonts w:eastAsia="Times New Roman" w:cs="Times New Roman"/>
          <w:lang w:eastAsia="fr-FR"/>
        </w:rPr>
        <w:br/>
        <w:t xml:space="preserve">En tant que </w:t>
      </w:r>
      <w:r>
        <w:rPr>
          <w:rFonts w:eastAsia="Times New Roman" w:cs="Times New Roman"/>
          <w:b/>
          <w:lang w:eastAsia="fr-FR"/>
        </w:rPr>
        <w:t>Directeur (H/F/X)</w:t>
      </w:r>
      <w:r>
        <w:rPr>
          <w:rFonts w:eastAsia="Times New Roman" w:cs="Times New Roman"/>
          <w:lang w:eastAsia="fr-FR"/>
        </w:rPr>
        <w:t xml:space="preserve">, vous pouvez être amené(e) à : </w:t>
      </w:r>
      <w:r>
        <w:rPr>
          <w:rFonts w:eastAsia="Times New Roman" w:cs="Times New Roman"/>
          <w:lang w:eastAsia="fr-FR"/>
        </w:rPr>
        <w:tab/>
      </w:r>
      <w:r>
        <w:rPr>
          <w:rFonts w:eastAsia="Times New Roman" w:cs="Times New Roman"/>
          <w:lang w:eastAsia="fr-FR"/>
        </w:rPr>
        <w:br/>
      </w:r>
    </w:p>
    <w:p>
      <w:pPr>
        <w:shd w:val="clear" w:color="auto" w:fill="F4AA00"/>
        <w:tabs>
          <w:tab w:val="left" w:pos="1985"/>
        </w:tabs>
        <w:spacing w:after="0" w:line="240" w:lineRule="auto"/>
        <w:ind w:left="-70"/>
        <w:jc w:val="center"/>
      </w:pPr>
      <w:r>
        <w:rPr>
          <w:rFonts w:eastAsia="Times New Roman" w:cs="Calibri"/>
          <w:bCs/>
          <w:i/>
          <w:sz w:val="28"/>
          <w:shd w:val="clear" w:color="auto" w:fill="F4AA00"/>
          <w:lang w:eastAsia="fr-FR"/>
        </w:rPr>
        <w:t xml:space="preserve"> La production de sens</w:t>
      </w:r>
    </w:p>
    <w:p>
      <w:pPr>
        <w:shd w:val="clear" w:color="auto" w:fill="FFFFFF"/>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pPr>
      <w:r>
        <w:rPr>
          <w:rFonts w:eastAsia="Times New Roman" w:cs="Calibri"/>
          <w:bCs/>
          <w:lang w:eastAsia="fr-FR"/>
        </w:rPr>
        <w:t>Expliciter régulièrement aux acteurs de l’école sur quelles valeurs se fonde l’action pédagogique et éducative, développée au service des élèves, dans le cadre du projet du pouvoir organisateur. Donner ainsi du sens à l’action collective et aux actions individuelles, en référence à ces valeurs ainsi que, selon le cas, aux missions prioritaires et particulières du système éducatif de la Communauté française ou aux finalités de l’enseignement de promotion sociale et de l’enseignement secondaire artistique à horaire réduit</w:t>
      </w:r>
      <w:r>
        <w:rPr>
          <w:rFonts w:eastAsia="Times New Roman" w:cs="Calibri"/>
          <w:b/>
          <w:bCs/>
          <w:lang w:eastAsia="fr-FR"/>
        </w:rPr>
        <w:t>.</w:t>
      </w: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BE"/>
        </w:rPr>
      </w:pPr>
      <w:r>
        <w:rPr>
          <w:rFonts w:eastAsia="Times New Roman" w:cs="Calibri"/>
          <w:lang w:eastAsia="fr-FR"/>
        </w:rPr>
        <w:t>Incarner les valeurs fondant l’action pédagogique et éducative prônée par WBE, les finalités et les objectifs visés dans l’école.</w:t>
      </w: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eastAsia="Times New Roman" w:cs="Calibri"/>
          <w:lang w:eastAsia="fr-FR"/>
        </w:rPr>
      </w:pPr>
      <w:r>
        <w:rPr>
          <w:rFonts w:eastAsia="Times New Roman" w:cs="Calibri"/>
          <w:lang w:eastAsia="fr-FR"/>
        </w:rPr>
        <w:t xml:space="preserve">Confronter régulièrement les processus et les résultats de l’action aux valeurs, aux finalités et aux objectifs annoncés. </w:t>
      </w: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eastAsia="Times New Roman" w:cs="Calibri"/>
          <w:lang w:eastAsia="fr-FR"/>
        </w:rPr>
      </w:pPr>
      <w:r>
        <w:rPr>
          <w:rFonts w:eastAsia="Times New Roman" w:cs="Calibri"/>
          <w:u w:val="single"/>
          <w:lang w:eastAsia="fr-FR"/>
        </w:rPr>
        <w:t>Spécificité propre à l’école</w:t>
      </w:r>
      <w:r>
        <w:rPr>
          <w:rFonts w:eastAsia="Times New Roman" w:cs="Calibri"/>
          <w:lang w:eastAsia="fr-FR"/>
        </w:rPr>
        <w:t xml:space="preserve"> :  </w:t>
      </w:r>
    </w:p>
    <w:p>
      <w:pPr>
        <w:tabs>
          <w:tab w:val="left" w:pos="1985"/>
        </w:tabs>
        <w:spacing w:after="0" w:line="240" w:lineRule="auto"/>
        <w:ind w:left="-70"/>
        <w:jc w:val="both"/>
        <w:rPr>
          <w:rFonts w:ascii="Calibri" w:eastAsia="Times New Roman" w:hAnsi="Calibri" w:cs="Calibri"/>
          <w:lang w:eastAsia="fr-BE"/>
        </w:rPr>
      </w:pPr>
      <w:r>
        <w:rPr>
          <w:rFonts w:ascii="Calibri" w:eastAsia="Times New Roman" w:hAnsi="Calibri" w:cs="Calibri"/>
          <w:lang w:eastAsia="fr-BE"/>
        </w:rPr>
        <w:t>Développer un accompagnement destiné à un public multiculturel.</w:t>
      </w:r>
    </w:p>
    <w:p>
      <w:pPr>
        <w:tabs>
          <w:tab w:val="left" w:pos="1985"/>
        </w:tabs>
        <w:spacing w:after="0" w:line="240" w:lineRule="auto"/>
        <w:ind w:left="-70"/>
        <w:jc w:val="both"/>
        <w:rPr>
          <w:rFonts w:ascii="Calibri" w:eastAsia="Times New Roman" w:hAnsi="Calibri" w:cs="Calibri"/>
          <w:lang w:eastAsia="fr-FR"/>
        </w:rPr>
      </w:pPr>
    </w:p>
    <w:p>
      <w:pPr>
        <w:shd w:val="clear" w:color="auto" w:fill="F4AA00"/>
        <w:tabs>
          <w:tab w:val="left" w:pos="1985"/>
        </w:tabs>
        <w:spacing w:after="0" w:line="240" w:lineRule="auto"/>
        <w:ind w:left="-70"/>
        <w:jc w:val="center"/>
      </w:pPr>
      <w:r>
        <w:rPr>
          <w:rFonts w:eastAsia="Times New Roman" w:cs="Calibri"/>
          <w:bCs/>
          <w:i/>
          <w:sz w:val="28"/>
          <w:shd w:val="clear" w:color="auto" w:fill="F4AA00"/>
          <w:lang w:eastAsia="fr-FR"/>
        </w:rPr>
        <w:t xml:space="preserve"> Le pilotage stratégique et opérationnel global de l’école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Dans l’enseignement maternel et dans l’enseignement obligatoire, être le garant des projets éducatif et pédagogique du pouvoir organisateur, définis dans le respect des finalités et des missions prioritaires et particulières du système éducatif de la Communauté française. </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l’enseignement maternel et dans l’enseignement obligatoire, en tant que leader pédagogique et éducatif, piloter la co-construction du projet d’établissement et du plan de pilotage de l’école, en menant à bien le processus de contractualisation y afférent ainsi que la mise en œuvre collective du contrat d’objectifs (ou le cas échéant, le protocole de collaboration).</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pPr>
      <w:r>
        <w:rPr>
          <w:rFonts w:eastAsia="Times New Roman" w:cs="Calibri"/>
          <w:bCs/>
          <w:lang w:eastAsia="fr-FR"/>
        </w:rPr>
        <w:t>Jouer un rôle d’interface entre le Pouvoir organisateur et l’ensemble des acteurs de l’école.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Participer, avec les acteurs de l’école, à la co-construction de la culture d’école et/ou la développer en cohérence avec les valeurs du système éducatif et celles du Pouvoir organisateur.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Endosser le rôle de leader pédagogique et éducatif dans tout processus décisionnel.</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Favoriser une réflexion stratégique et prospective sur le devenir de l’école.</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Faire de l’école une organisation apprenante et y encourager l’innovation, notamment didactique et pédagogique.</w:t>
      </w:r>
    </w:p>
    <w:p>
      <w:pPr>
        <w:tabs>
          <w:tab w:val="left" w:pos="1985"/>
        </w:tabs>
        <w:spacing w:after="0" w:line="240" w:lineRule="auto"/>
        <w:ind w:left="-70"/>
        <w:jc w:val="both"/>
        <w:rPr>
          <w:rFonts w:eastAsia="Times New Roman"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ascii="Calibri" w:eastAsia="Times New Roman" w:hAnsi="Calibri" w:cs="Calibri"/>
          <w:bCs/>
          <w:lang w:eastAsia="fr-FR"/>
        </w:rPr>
        <w:t>Le directeur veille, le cas échéant, à la bonne organisation des organes locaux de concertation sociale légaux et conventionnels</w:t>
      </w:r>
    </w:p>
    <w:p>
      <w:pPr>
        <w:tabs>
          <w:tab w:val="left" w:pos="1985"/>
        </w:tabs>
        <w:spacing w:after="0" w:line="240" w:lineRule="auto"/>
        <w:ind w:left="-70"/>
        <w:jc w:val="both"/>
        <w:rPr>
          <w:rFonts w:eastAsia="Times New Roman" w:cs="Calibri"/>
          <w:bCs/>
          <w:lang w:eastAsia="fr-FR"/>
        </w:rPr>
      </w:pPr>
    </w:p>
    <w:p>
      <w:pPr>
        <w:tabs>
          <w:tab w:val="left" w:pos="1985"/>
        </w:tabs>
        <w:spacing w:after="0" w:line="240" w:lineRule="auto"/>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Le pilotage des actions et des projets pédagogiques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le soutien et l’accompagnement du parcours scolaire de chacun des élèves et leur orientation positive.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S'assurer de l'adéquation entre les méthodes pédagogiques de l’équipe éducative et les caractéristiques de la population scolaire et les spécificités de la matière/contenu.</w:t>
      </w:r>
    </w:p>
    <w:tbl>
      <w:tblPr>
        <w:tblpPr w:leftFromText="141" w:rightFromText="141" w:vertAnchor="text" w:horzAnchor="margin" w:tblpY="-1006"/>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pPr>
            <w:r>
              <w:rPr>
                <w:rFonts w:eastAsia="Times New Roman" w:cs="Times New Roman"/>
                <w:sz w:val="20"/>
                <w:szCs w:val="20"/>
                <w:lang w:eastAsia="fr-FR"/>
              </w:rPr>
              <w:t>Profil de compétence</w:t>
            </w:r>
          </w:p>
        </w:tc>
      </w:tr>
    </w:tbl>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Evaluer la pertinence des méthodes pédagogiques employées au regard des résultats engrangés.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Favoriser un leadership pédagogique partagé. </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le pilotage pédagogique de l’établissement.</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 cadre du leadership pédagogique partagé, contrôler l'avancement, suivre régulièrement la progression des résultats des missions déléguées et si nécessaire ajuster de manière adéquate et cohérente en fonction des objectifs à atteindre.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 cadre du pilotage pédagogique de l’établissement, opérer les réajustements nécessaires  à partir d’évaluations menées sur base des indicateurs retenus. </w:t>
      </w:r>
    </w:p>
    <w:p>
      <w:pPr>
        <w:tabs>
          <w:tab w:val="left" w:pos="1985"/>
        </w:tabs>
        <w:spacing w:after="0" w:line="240" w:lineRule="auto"/>
        <w:ind w:left="-70"/>
        <w:jc w:val="both"/>
      </w:pPr>
      <w:r>
        <w:rPr>
          <w:rFonts w:eastAsia="Times New Roman" w:cs="Calibri"/>
          <w:bCs/>
          <w:lang w:eastAsia="fr-FR"/>
        </w:rPr>
        <w:t>Favoriser la collaboration de l’équipe éducative avec le Centre psycho-médico-social.</w:t>
      </w:r>
    </w:p>
    <w:p>
      <w:pPr>
        <w:tabs>
          <w:tab w:val="left" w:pos="1985"/>
        </w:tabs>
        <w:spacing w:after="0" w:line="240" w:lineRule="auto"/>
        <w:ind w:left="-70"/>
        <w:jc w:val="both"/>
      </w:pPr>
      <w:r>
        <w:rPr>
          <w:rFonts w:eastAsia="Times New Roman" w:cs="Calibri"/>
          <w:bCs/>
          <w:lang w:eastAsia="fr-FR"/>
        </w:rPr>
        <w:t>Développer des collaborations et des partenariats externes à l’école, notamment avec d’autres écoles.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Coopérer avec les acteurs et les instances institués par la Communauté française et son pouvoir organisateur.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Représenter le Pouvoir organisateur auprès des services du Gouvernement et du service général de l’Inspection.</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Inscrire l’action de son école dans le cadre de la politique collective de la zone.</w:t>
      </w:r>
    </w:p>
    <w:p>
      <w:pPr>
        <w:tabs>
          <w:tab w:val="left" w:pos="1985"/>
        </w:tabs>
        <w:spacing w:after="0" w:line="240" w:lineRule="auto"/>
        <w:ind w:left="-70"/>
        <w:jc w:val="both"/>
      </w:pPr>
    </w:p>
    <w:p>
      <w:pPr>
        <w:tabs>
          <w:tab w:val="left" w:pos="1985"/>
        </w:tabs>
        <w:spacing w:after="0" w:line="240" w:lineRule="auto"/>
        <w:ind w:left="-70"/>
        <w:jc w:val="both"/>
        <w:rPr>
          <w:rFonts w:ascii="Calibri" w:eastAsia="Times New Roman" w:hAnsi="Calibri" w:cs="Calibri"/>
          <w:u w:val="single"/>
          <w:lang w:eastAsia="fr-BE"/>
        </w:rPr>
      </w:pPr>
      <w:r>
        <w:rPr>
          <w:rFonts w:eastAsia="Times New Roman" w:cs="Calibri"/>
          <w:u w:val="single"/>
          <w:lang w:eastAsia="fr-FR"/>
        </w:rPr>
        <w:t xml:space="preserve">Spécificités propres à l’école : </w:t>
      </w:r>
    </w:p>
    <w:p>
      <w:pPr>
        <w:pStyle w:val="Paragraphedeliste"/>
        <w:numPr>
          <w:ilvl w:val="0"/>
          <w:numId w:val="7"/>
        </w:numPr>
        <w:jc w:val="both"/>
      </w:pPr>
      <w:r>
        <w:t>Le projet d’établissement doit être actualisé suite au contrat d’objectifs.</w:t>
      </w:r>
    </w:p>
    <w:p>
      <w:pPr>
        <w:pStyle w:val="Paragraphedeliste"/>
        <w:numPr>
          <w:ilvl w:val="0"/>
          <w:numId w:val="7"/>
        </w:numPr>
        <w:jc w:val="both"/>
      </w:pPr>
      <w:r>
        <w:t>La direction veillera à mettre en place les trois objectifs suivants repris dans le contrat d’objectifs :</w:t>
      </w:r>
    </w:p>
    <w:p>
      <w:pPr>
        <w:pStyle w:val="Paragraphedeliste"/>
        <w:numPr>
          <w:ilvl w:val="1"/>
          <w:numId w:val="7"/>
        </w:numPr>
        <w:jc w:val="both"/>
      </w:pPr>
      <w:r>
        <w:t>Augmenter le taux moyen en français aux épreuves externes non certificatives sur une période de 6 ans ;</w:t>
      </w:r>
    </w:p>
    <w:p>
      <w:pPr>
        <w:pStyle w:val="Paragraphedeliste"/>
        <w:numPr>
          <w:ilvl w:val="1"/>
          <w:numId w:val="7"/>
        </w:numPr>
        <w:jc w:val="both"/>
      </w:pPr>
      <w:r>
        <w:t>Réduire le taux de redoublement généré en école sur une période de 6 ans ;</w:t>
      </w:r>
    </w:p>
    <w:p>
      <w:pPr>
        <w:pStyle w:val="Paragraphedeliste"/>
        <w:numPr>
          <w:ilvl w:val="1"/>
          <w:numId w:val="7"/>
        </w:numPr>
        <w:jc w:val="both"/>
      </w:pPr>
      <w:r>
        <w:t>Augmenter le taux d'implication des parents dans la vie et la réussite scolaire de leurs enfants sur une période de 6 ans.</w:t>
      </w:r>
    </w:p>
    <w:p>
      <w:pPr>
        <w:tabs>
          <w:tab w:val="left" w:pos="1985"/>
        </w:tabs>
        <w:spacing w:after="0" w:line="240" w:lineRule="auto"/>
        <w:ind w:left="-70"/>
        <w:jc w:val="both"/>
        <w:rPr>
          <w:rFonts w:ascii="Calibri" w:eastAsia="Times New Roman" w:hAnsi="Calibri" w:cs="Calibri"/>
          <w:bCs/>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La gestion des ressources et des relations humaines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Organiser les services de l’ensemble des membres du personnel, coordonner leur travail, fixer les objectifs dans le cadre de leurs compétences et des textes qui régissent leur fonction. Assumer en particulier, la responsabilité pédagogique et administrative de décider des horaires et des attributions des membres du personnel.</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l’enseignement maternel et dans l’enseignement obligatoire, développer avec l’équipe éducative une dynamique collective et soutenir le travail collaboratif dans une visée de partage de pratiques et d’organisation apprenante.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Collaborer avec le pouvoir organisateur pour construire une équipe éducative centrée sur l’élève, son développement et ses apprentissages.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Soutenir le développement professionnel des membres du personnel.</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Accompagner les équipes éducatives dans le changement et les innovations qu’elles mettent en œuvre.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Veiller à l’accueil et à l’intégration des nouveaux membres du personnel ainsi qu’à l’accompagnement des membres du personnel en difficulté.</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Être le représentant du pouvoir organisateur auprès des Services du Gouvernement.</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Pouvoir nouer des contacts avec le monde économique et socioculturel local de même qu’avec des organismes de protection de la jeunesse, d’aide à l’enfance et d’aide à la jeunesse.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Participer avec le Pouvoir organisateur aux procédures de recrutement des membres du personnel.</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Evaluer les membres du personnel et en rendre compte au Pouvoir organisateur.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 cadre du soutien au développement professionnel, individuel et collectif des membres du personnel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construire avec eux un plan de formation collectif pour l’établissement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les motiver et les accompagner (en particulier les enseignants débutants) ;</w:t>
      </w:r>
    </w:p>
    <w:tbl>
      <w:tblPr>
        <w:tblpPr w:leftFromText="141" w:rightFromText="141" w:vertAnchor="text" w:horzAnchor="margin" w:tblpY="-452"/>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tabs>
          <w:tab w:val="left" w:pos="1985"/>
        </w:tabs>
        <w:spacing w:after="0" w:line="240" w:lineRule="auto"/>
        <w:ind w:left="290"/>
        <w:contextualSpacing/>
        <w:jc w:val="both"/>
      </w:pPr>
    </w:p>
    <w:p>
      <w:pPr>
        <w:numPr>
          <w:ilvl w:val="0"/>
          <w:numId w:val="2"/>
        </w:numPr>
        <w:tabs>
          <w:tab w:val="left" w:pos="1985"/>
        </w:tabs>
        <w:spacing w:after="0" w:line="240" w:lineRule="auto"/>
        <w:contextualSpacing/>
        <w:jc w:val="both"/>
      </w:pPr>
      <w:r>
        <w:rPr>
          <w:rFonts w:eastAsia="Times New Roman" w:cs="Calibri"/>
          <w:bCs/>
          <w:lang w:eastAsia="fr-FR"/>
        </w:rPr>
        <w:t>mener avec eux des entretiens de fonctionnement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les aider à clarifier le sens de leur action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participer à l’identification de leurs besoins de formation et leur faciliter l’accès à la formation en cours de carrière dans le cadre du plan de formation de l’école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 xml:space="preserve">valoriser l’expertise des membres du personnel ; </w:t>
      </w:r>
    </w:p>
    <w:p>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soutenir leurs actions tant à l’intérieur qu’à l’extérieur de l’école ;</w:t>
      </w:r>
    </w:p>
    <w:p>
      <w:pPr>
        <w:tabs>
          <w:tab w:val="left" w:pos="1985"/>
        </w:tabs>
        <w:spacing w:after="0" w:line="240" w:lineRule="auto"/>
        <w:ind w:left="-70"/>
        <w:contextualSpacing/>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Permettre aux membres du personnel l’expérimentation de nouvelles pratiques professionnelles, dans le respect du projet pédagogique du Pouvoir organisateur.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Stimuler l’esprit d’équipe. </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Constituer dans l’école une équipe de direction et l’animer.</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Mettre en place une dynamique collaborative favorisant le partage, la concertation, et la construction collective.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Renforcer la démocratie scolaire en impliquant tous les acteurs de l’école et en promouvant le vivre ensemble.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Développer dans l’école les conditions d’un climat relationnel positif et du respect mutuel. </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les relations de l’école avec les élèves, les parents et les tiers, et dans ce cadre, développer l’accueil et le dialogue.</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Veiller à une application juste et humaine aux élèves du règlement d’ordre intérieur et des éventuelles sanctions disciplinaires. </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Prévenir et gérer les conflits, en faisant appel, le cas échéant, à des ressources externes.</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Veiller au respect du statut des membres du personnel et du règlement de travail.</w:t>
      </w:r>
    </w:p>
    <w:p>
      <w:pPr>
        <w:tabs>
          <w:tab w:val="left" w:pos="1985"/>
          <w:tab w:val="left" w:pos="3080"/>
        </w:tabs>
        <w:spacing w:after="0" w:line="240" w:lineRule="auto"/>
        <w:jc w:val="both"/>
        <w:rPr>
          <w:rFonts w:ascii="Calibri" w:eastAsia="Times New Roman" w:hAnsi="Calibri" w:cs="Calibri"/>
          <w:lang w:eastAsia="fr-BE"/>
        </w:rPr>
      </w:pPr>
      <w:r>
        <w:rPr>
          <w:rFonts w:eastAsia="Times New Roman" w:cs="Calibri"/>
          <w:lang w:eastAsia="fr-FR"/>
        </w:rPr>
        <w:tab/>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La communication interne et externe</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Recueillir, analyser, intégrer et faire circuler l’information en la reformulant de manière adaptée et au moyen des dispositifs adéquats à l’attention, respectivement, du Pouvoir organisateur, des membres du personnel, des élèves, des parents et des agents du Centre psycho-médico-social et en tant qu’interface, avec les partenaires et interlocuteurs extérieurs.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Gérer la communication extérieure de l’établissement, en ce compris les relations avec les médias, dans la limite des délégations qui ont été données.</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Construire des dispositifs de communication entre les acteurs de l’école  et avec les partenaires de l’école.</w:t>
      </w:r>
    </w:p>
    <w:p>
      <w:pPr>
        <w:tabs>
          <w:tab w:val="left" w:pos="1985"/>
        </w:tabs>
        <w:spacing w:after="0" w:line="240" w:lineRule="auto"/>
        <w:ind w:left="-70"/>
        <w:jc w:val="both"/>
        <w:rPr>
          <w:rFonts w:eastAsia="Times New Roman" w:cs="Calibri"/>
          <w:bCs/>
          <w:lang w:eastAsia="fr-FR"/>
        </w:rPr>
      </w:pPr>
    </w:p>
    <w:p>
      <w:pPr>
        <w:tabs>
          <w:tab w:val="left" w:pos="1985"/>
        </w:tabs>
        <w:spacing w:after="0" w:line="240" w:lineRule="auto"/>
        <w:ind w:left="-70"/>
        <w:jc w:val="both"/>
        <w:rPr>
          <w:rFonts w:ascii="Calibri" w:eastAsia="Times New Roman" w:hAnsi="Calibri" w:cs="Calibri"/>
          <w:u w:val="single"/>
          <w:lang w:eastAsia="fr-BE"/>
        </w:rPr>
      </w:pPr>
      <w:r>
        <w:rPr>
          <w:rFonts w:eastAsia="Times New Roman" w:cs="Calibri"/>
          <w:u w:val="single"/>
          <w:lang w:eastAsia="fr-FR"/>
        </w:rPr>
        <w:t xml:space="preserve">Spécificités propres à l’école : </w:t>
      </w:r>
    </w:p>
    <w:p>
      <w:pPr>
        <w:pStyle w:val="Paragraphedeliste"/>
        <w:numPr>
          <w:ilvl w:val="0"/>
          <w:numId w:val="8"/>
        </w:numPr>
        <w:jc w:val="both"/>
      </w:pPr>
      <w:r>
        <w:t>Adapter sa communication en fonction du public (élèves, parents, etc.).</w:t>
      </w:r>
    </w:p>
    <w:p>
      <w:pPr>
        <w:pStyle w:val="Paragraphedeliste"/>
        <w:numPr>
          <w:ilvl w:val="0"/>
          <w:numId w:val="8"/>
        </w:numPr>
        <w:jc w:val="both"/>
      </w:pPr>
      <w:r>
        <w:t>Faire évoluer les diverses collaborations et outils de communications existants, tels que :</w:t>
      </w:r>
    </w:p>
    <w:p>
      <w:pPr>
        <w:pStyle w:val="Paragraphedeliste"/>
        <w:numPr>
          <w:ilvl w:val="0"/>
          <w:numId w:val="10"/>
        </w:numPr>
        <w:tabs>
          <w:tab w:val="left" w:pos="1985"/>
        </w:tabs>
        <w:spacing w:after="0" w:line="240" w:lineRule="auto"/>
        <w:ind w:left="1068"/>
        <w:jc w:val="both"/>
      </w:pPr>
      <w:r>
        <w:t>la communication circulaire entre les directions du fondamental et du secondaire ;</w:t>
      </w:r>
    </w:p>
    <w:p>
      <w:pPr>
        <w:pStyle w:val="Paragraphedeliste"/>
        <w:numPr>
          <w:ilvl w:val="0"/>
          <w:numId w:val="10"/>
        </w:numPr>
        <w:tabs>
          <w:tab w:val="left" w:pos="1985"/>
        </w:tabs>
        <w:spacing w:after="0" w:line="240" w:lineRule="auto"/>
        <w:ind w:left="1068"/>
        <w:jc w:val="both"/>
      </w:pPr>
      <w:r>
        <w:t>les relations avec le CPMS ;</w:t>
      </w:r>
    </w:p>
    <w:p>
      <w:pPr>
        <w:pStyle w:val="Paragraphedeliste"/>
        <w:numPr>
          <w:ilvl w:val="0"/>
          <w:numId w:val="10"/>
        </w:numPr>
        <w:spacing w:after="0"/>
        <w:ind w:left="1068"/>
        <w:jc w:val="both"/>
      </w:pPr>
      <w:r>
        <w:t>le FEFA (</w:t>
      </w:r>
      <w:r>
        <w:rPr>
          <w:iCs/>
        </w:rPr>
        <w:t>Football-Etudes-Familles-Anderlecht)</w:t>
      </w:r>
      <w:r>
        <w:t>, notamment pour l’école des devoirs ;</w:t>
      </w:r>
    </w:p>
    <w:p>
      <w:pPr>
        <w:pStyle w:val="Paragraphedeliste"/>
        <w:numPr>
          <w:ilvl w:val="0"/>
          <w:numId w:val="10"/>
        </w:numPr>
        <w:spacing w:after="0"/>
        <w:ind w:left="1068"/>
        <w:jc w:val="both"/>
      </w:pPr>
      <w:r>
        <w:t>la commune ;</w:t>
      </w:r>
    </w:p>
    <w:p>
      <w:pPr>
        <w:pStyle w:val="Paragraphedeliste"/>
        <w:spacing w:after="0"/>
        <w:ind w:left="1068"/>
        <w:jc w:val="both"/>
      </w:pPr>
    </w:p>
    <w:p>
      <w:pPr>
        <w:pStyle w:val="Paragraphedeliste"/>
        <w:spacing w:after="0"/>
        <w:ind w:left="1068"/>
        <w:jc w:val="both"/>
      </w:pPr>
    </w:p>
    <w:p>
      <w:pPr>
        <w:spacing w:after="0"/>
        <w:ind w:firstLine="708"/>
        <w:jc w:val="both"/>
        <w:rPr>
          <w:highlight w:val="cyan"/>
        </w:rPr>
      </w:pPr>
    </w:p>
    <w:tbl>
      <w:tblPr>
        <w:tblpPr w:leftFromText="141" w:rightFromText="141" w:vertAnchor="text" w:horzAnchor="page" w:tblpX="2236" w:tblpY="-733"/>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pPr>
        <w:pStyle w:val="Paragraphedeliste"/>
        <w:numPr>
          <w:ilvl w:val="0"/>
          <w:numId w:val="13"/>
        </w:numPr>
        <w:spacing w:after="0"/>
        <w:jc w:val="both"/>
      </w:pPr>
      <w:r>
        <w:t xml:space="preserve">les équipes mobiles; </w:t>
      </w:r>
    </w:p>
    <w:p>
      <w:pPr>
        <w:pStyle w:val="Paragraphedeliste"/>
        <w:numPr>
          <w:ilvl w:val="0"/>
          <w:numId w:val="13"/>
        </w:numPr>
        <w:spacing w:after="0"/>
        <w:jc w:val="both"/>
      </w:pPr>
      <w:r>
        <w:t xml:space="preserve">les écoles d’enseignement spécialisé pour des projets d’intégration; </w:t>
      </w:r>
    </w:p>
    <w:p>
      <w:pPr>
        <w:pStyle w:val="Paragraphedeliste"/>
        <w:numPr>
          <w:ilvl w:val="0"/>
          <w:numId w:val="13"/>
        </w:numPr>
        <w:jc w:val="both"/>
      </w:pPr>
      <w:r>
        <w:t>l’ASBL Clair de Lune, dans le cadre d’une collaboration future avec l’école.</w:t>
      </w:r>
    </w:p>
    <w:p>
      <w:pPr>
        <w:ind w:firstLine="708"/>
        <w:jc w:val="both"/>
      </w:pPr>
    </w:p>
    <w:p>
      <w:pPr>
        <w:ind w:firstLine="708"/>
        <w:jc w:val="both"/>
        <w:rPr>
          <w:rFonts w:ascii="Calibri" w:eastAsia="Times New Roman" w:hAnsi="Calibri" w:cs="Calibri"/>
          <w:bCs/>
          <w:i/>
          <w:sz w:val="28"/>
          <w:highlight w:val="red"/>
          <w:lang w:eastAsia="fr-FR"/>
        </w:rPr>
      </w:pPr>
      <w:r>
        <w:rPr>
          <w:rFonts w:eastAsia="Times New Roman" w:cs="Calibri"/>
          <w:bCs/>
          <w:i/>
          <w:sz w:val="28"/>
          <w:shd w:val="clear" w:color="auto" w:fill="F4AA00"/>
          <w:lang w:eastAsia="fr-FR"/>
        </w:rPr>
        <w:t>La gestion administrative, financière et matérielle de l’établissement</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Garantir le respect des dispositions légales et réglementaires.</w:t>
      </w: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la gestion du budget pour lequel délégation a été donnée, en vue de parvenir à un fonctionnement optimal de l’école et à la réalisation de ses objectifs.</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Objectiver les besoins de l’école en infrastructures et en équipements pédagogiques, techniques et informatiques nécessaires à son fonctionnement et en informer le pouvoir organisateur.</w:t>
      </w:r>
    </w:p>
    <w:p>
      <w:pPr>
        <w:tabs>
          <w:tab w:val="left" w:pos="1985"/>
        </w:tabs>
        <w:spacing w:after="0" w:line="240" w:lineRule="auto"/>
        <w:ind w:left="-70"/>
        <w:jc w:val="both"/>
        <w:rPr>
          <w:rFonts w:eastAsia="Times New Roman" w:cs="Calibri"/>
          <w:bCs/>
          <w:lang w:eastAsia="fr-FR"/>
        </w:rPr>
      </w:pPr>
      <w:r>
        <w:rPr>
          <w:rFonts w:eastAsia="Times New Roman" w:cs="Calibri"/>
          <w:bCs/>
          <w:lang w:eastAsia="fr-FR"/>
        </w:rPr>
        <w:t>Assurer la gestion et l’entretien des bâtiments, des infrastructures et des équipements scolaires, pour lesquels délégation a été donnée, y compris en matière de sécurité,  d'hygiène et de bien-être au travail.</w:t>
      </w:r>
    </w:p>
    <w:p>
      <w:pPr>
        <w:tabs>
          <w:tab w:val="left" w:pos="1985"/>
        </w:tabs>
        <w:spacing w:after="0" w:line="240" w:lineRule="auto"/>
        <w:ind w:left="-70"/>
        <w:jc w:val="both"/>
        <w:rPr>
          <w:rFonts w:eastAsia="Times New Roman" w:cs="Calibri"/>
          <w:bCs/>
          <w:lang w:eastAsia="fr-FR"/>
        </w:rPr>
      </w:pPr>
    </w:p>
    <w:p>
      <w:pPr>
        <w:tabs>
          <w:tab w:val="left" w:pos="1985"/>
        </w:tabs>
        <w:spacing w:after="0" w:line="240" w:lineRule="auto"/>
        <w:ind w:left="-70"/>
        <w:jc w:val="both"/>
        <w:rPr>
          <w:rFonts w:ascii="Calibri" w:eastAsia="Times New Roman" w:hAnsi="Calibri" w:cs="Calibri"/>
          <w:u w:val="single"/>
          <w:lang w:eastAsia="fr-BE"/>
        </w:rPr>
      </w:pPr>
      <w:r>
        <w:rPr>
          <w:rFonts w:eastAsia="Times New Roman" w:cs="Calibri"/>
          <w:u w:val="single"/>
          <w:lang w:eastAsia="fr-FR"/>
        </w:rPr>
        <w:t xml:space="preserve">Spécificité propre à l’école : </w:t>
      </w:r>
    </w:p>
    <w:p>
      <w:pPr>
        <w:tabs>
          <w:tab w:val="left" w:pos="1985"/>
        </w:tabs>
        <w:spacing w:after="0" w:line="240" w:lineRule="auto"/>
        <w:ind w:left="-70"/>
        <w:jc w:val="both"/>
        <w:rPr>
          <w:rFonts w:ascii="Calibri" w:eastAsia="Times New Roman" w:hAnsi="Calibri" w:cs="Calibri"/>
          <w:bCs/>
          <w:lang w:eastAsia="fr-FR"/>
        </w:rPr>
      </w:pPr>
    </w:p>
    <w:p>
      <w:pPr>
        <w:pStyle w:val="Paragraphedeliste"/>
        <w:numPr>
          <w:ilvl w:val="0"/>
          <w:numId w:val="2"/>
        </w:numPr>
        <w:jc w:val="both"/>
      </w:pPr>
      <w:r>
        <w:t>Plusieurs projets liés à l’infrastructure sont en cours et implique une collaboration étroite avec la direction du fondamental.</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p>
    <w:p>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La planification et la gestion active de son propre développement professionnel</w:t>
      </w:r>
    </w:p>
    <w:p>
      <w:pPr>
        <w:tabs>
          <w:tab w:val="left" w:pos="1985"/>
        </w:tabs>
        <w:spacing w:after="0" w:line="240" w:lineRule="auto"/>
        <w:ind w:left="-70"/>
        <w:jc w:val="both"/>
        <w:rPr>
          <w:rFonts w:ascii="Calibri" w:eastAsia="Times New Roman" w:hAnsi="Calibri" w:cs="Calibri"/>
          <w:bCs/>
          <w:lang w:eastAsia="fr-FR"/>
        </w:rPr>
      </w:pPr>
    </w:p>
    <w:p>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S’enrichir continument de nouvelles idées, compétences et connaissances.</w:t>
      </w:r>
    </w:p>
    <w:p>
      <w:pPr>
        <w:tabs>
          <w:tab w:val="left" w:pos="1985"/>
        </w:tabs>
        <w:spacing w:after="0" w:line="240" w:lineRule="auto"/>
        <w:ind w:left="-70"/>
        <w:jc w:val="both"/>
        <w:rPr>
          <w:rFonts w:ascii="Calibri" w:eastAsia="Times New Roman" w:hAnsi="Calibri" w:cs="Calibri"/>
          <w:lang w:eastAsia="fr-FR"/>
        </w:rPr>
      </w:pPr>
      <w:r>
        <w:rPr>
          <w:rFonts w:eastAsia="Times New Roman" w:cs="Calibri"/>
          <w:lang w:eastAsia="fr-FR"/>
        </w:rPr>
        <w:t xml:space="preserve">Avoir des entretiens de fonctionnement réguliers avec le pouvoir organisateur ou les délégués de celui-ci, en référence à la lettre de mission et à l’auto-évaluation. </w:t>
      </w:r>
    </w:p>
    <w:p>
      <w:pPr>
        <w:tabs>
          <w:tab w:val="left" w:pos="1985"/>
        </w:tabs>
        <w:spacing w:after="0" w:line="240" w:lineRule="auto"/>
        <w:ind w:left="-70"/>
        <w:jc w:val="both"/>
        <w:rPr>
          <w:rFonts w:ascii="Calibri" w:eastAsia="Times New Roman" w:hAnsi="Calibri" w:cs="Calibri"/>
          <w:lang w:eastAsia="fr-FR"/>
        </w:rPr>
      </w:pPr>
      <w:r>
        <w:rPr>
          <w:rFonts w:eastAsia="Times New Roman" w:cs="Calibri"/>
          <w:lang w:eastAsia="fr-FR"/>
        </w:rPr>
        <w:t>S’inscrire dans une démarche de formation continuée.</w:t>
      </w:r>
    </w:p>
    <w:p>
      <w:pPr>
        <w:tabs>
          <w:tab w:val="left" w:pos="1985"/>
        </w:tabs>
        <w:spacing w:after="0" w:line="240" w:lineRule="auto"/>
        <w:ind w:left="-70"/>
        <w:jc w:val="both"/>
        <w:rPr>
          <w:rFonts w:eastAsia="Times New Roman" w:cs="Calibri"/>
          <w:lang w:eastAsia="fr-FR"/>
        </w:rPr>
      </w:pPr>
      <w:r>
        <w:rPr>
          <w:rFonts w:eastAsia="Times New Roman" w:cs="Calibri"/>
          <w:lang w:eastAsia="fr-FR"/>
        </w:rPr>
        <w:t>Autoévaluer régulièrement son fonctionnement professionnel et en tirer de nouvelles lignes d’action ou de comportement.</w:t>
      </w: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ascii="Calibri" w:eastAsia="Times New Roman" w:hAnsi="Calibri" w:cs="Calibri"/>
          <w:u w:val="single"/>
          <w:lang w:eastAsia="fr-BE"/>
        </w:rPr>
      </w:pPr>
      <w:r>
        <w:rPr>
          <w:rFonts w:eastAsia="Times New Roman" w:cs="Calibri"/>
          <w:u w:val="single"/>
          <w:lang w:eastAsia="fr-FR"/>
        </w:rPr>
        <w:t xml:space="preserve">Spécificité propre à l’école : </w:t>
      </w:r>
    </w:p>
    <w:p>
      <w:pPr>
        <w:tabs>
          <w:tab w:val="left" w:pos="1985"/>
        </w:tabs>
        <w:spacing w:after="0" w:line="240" w:lineRule="auto"/>
        <w:ind w:left="-70"/>
        <w:jc w:val="both"/>
        <w:rPr>
          <w:rFonts w:ascii="Calibri" w:eastAsia="Times New Roman" w:hAnsi="Calibri" w:cs="Calibri"/>
          <w:lang w:eastAsia="fr-FR"/>
        </w:rPr>
      </w:pPr>
      <w:r>
        <w:rPr>
          <w:rFonts w:eastAsia="Times New Roman" w:cs="Calibri"/>
          <w:lang w:eastAsia="fr-FR"/>
        </w:rPr>
        <w:t>S’inscrire dans une démarche de formation continuée adaptée au public rencontré.</w:t>
      </w: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both"/>
        <w:rPr>
          <w:rFonts w:eastAsia="Times New Roman" w:cs="Calibri"/>
          <w:lang w:eastAsia="fr-FR"/>
        </w:rPr>
      </w:pPr>
    </w:p>
    <w:p>
      <w:pPr>
        <w:tabs>
          <w:tab w:val="left" w:pos="1985"/>
        </w:tabs>
        <w:spacing w:after="0" w:line="240" w:lineRule="auto"/>
        <w:ind w:left="-70"/>
        <w:jc w:val="center"/>
        <w:rPr>
          <w:rFonts w:ascii="Calibri" w:eastAsia="Times New Roman" w:hAnsi="Calibri" w:cs="Times New Roman"/>
          <w:lang w:eastAsia="fr-FR"/>
        </w:rPr>
      </w:pPr>
      <w:r>
        <w:rPr>
          <w:rFonts w:eastAsia="Times New Roman" w:cs="Times New Roman"/>
          <w:szCs w:val="24"/>
          <w:lang w:eastAsia="fr-FR"/>
        </w:rPr>
        <w:t>Cette liste des tâches n’est pas exhaustive.</w:t>
      </w: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tabs>
          <w:tab w:val="left" w:pos="1985"/>
        </w:tabs>
        <w:spacing w:after="0" w:line="240" w:lineRule="auto"/>
        <w:ind w:left="-70"/>
        <w:jc w:val="both"/>
        <w:rPr>
          <w:rFonts w:ascii="Calibri" w:eastAsia="Times New Roman" w:hAnsi="Calibri" w:cs="Calibri"/>
          <w:lang w:eastAsia="fr-FR"/>
        </w:rPr>
      </w:pPr>
    </w:p>
    <w:p>
      <w:pPr>
        <w:spacing w:after="0" w:line="240" w:lineRule="auto"/>
        <w:rPr>
          <w:rFonts w:ascii="Calibri" w:eastAsia="Times New Roman" w:hAnsi="Calibri" w:cs="Times New Roman"/>
          <w:lang w:eastAsia="fr-FR"/>
        </w:rPr>
      </w:pPr>
    </w:p>
    <w:tbl>
      <w:tblPr>
        <w:tblpPr w:leftFromText="141" w:rightFromText="141" w:vertAnchor="text" w:horzAnchor="margin" w:tblpXSpec="center" w:tblpY="-384"/>
        <w:tblW w:w="8673" w:type="dxa"/>
        <w:jc w:val="center"/>
        <w:tblCellMar>
          <w:left w:w="70" w:type="dxa"/>
          <w:right w:w="70" w:type="dxa"/>
        </w:tblCellMar>
        <w:tblLook w:val="0000" w:firstRow="0" w:lastRow="0" w:firstColumn="0" w:lastColumn="0" w:noHBand="0" w:noVBand="0"/>
      </w:tblPr>
      <w:tblGrid>
        <w:gridCol w:w="2891"/>
        <w:gridCol w:w="2891"/>
        <w:gridCol w:w="2891"/>
      </w:tblGrid>
      <w:tr>
        <w:trPr>
          <w:trHeight w:val="499"/>
          <w:jc w:val="center"/>
        </w:trPr>
        <w:tc>
          <w:tcPr>
            <w:tcW w:w="2891" w:type="dxa"/>
            <w:shd w:val="clear" w:color="auto" w:fill="auto"/>
            <w:vAlign w:val="center"/>
          </w:tcPr>
          <w:p>
            <w:pPr>
              <w:tabs>
                <w:tab w:val="left" w:pos="1985"/>
              </w:tabs>
              <w:spacing w:after="0" w:line="240" w:lineRule="auto"/>
              <w:ind w:left="181"/>
              <w:jc w:val="center"/>
            </w:pPr>
            <w:r>
              <w:rPr>
                <w:rFonts w:eastAsia="Times New Roman" w:cs="Times New Roman"/>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pPr>
            <w:r>
              <w:rPr>
                <w:rFonts w:eastAsia="Times New Roman" w:cs="Times New Roman"/>
                <w:sz w:val="20"/>
                <w:szCs w:val="20"/>
                <w:lang w:eastAsia="fr-FR"/>
              </w:rPr>
              <w:t>Référentiel des responsabilités</w:t>
            </w:r>
          </w:p>
        </w:tc>
        <w:tc>
          <w:tcPr>
            <w:tcW w:w="2891" w:type="dxa"/>
            <w:shd w:val="clear" w:color="auto" w:fill="001D77"/>
            <w:vAlign w:val="center"/>
          </w:tcPr>
          <w:p>
            <w:pPr>
              <w:tabs>
                <w:tab w:val="left" w:pos="1985"/>
              </w:tabs>
              <w:spacing w:after="0" w:line="240" w:lineRule="auto"/>
              <w:jc w:val="center"/>
            </w:pPr>
            <w:r>
              <w:rPr>
                <w:rFonts w:eastAsia="Times New Roman" w:cs="Times New Roman"/>
                <w:b/>
                <w:color w:val="FFFFFF"/>
                <w:sz w:val="20"/>
                <w:szCs w:val="20"/>
                <w:lang w:eastAsia="fr-FR"/>
              </w:rPr>
              <w:t>Profil de compétence</w:t>
            </w:r>
          </w:p>
        </w:tc>
      </w:tr>
    </w:tbl>
    <w:p>
      <w:pPr>
        <w:tabs>
          <w:tab w:val="left" w:pos="1985"/>
        </w:tabs>
        <w:spacing w:after="0" w:line="240" w:lineRule="auto"/>
        <w:jc w:val="both"/>
        <w:rPr>
          <w:rFonts w:ascii="Calibri" w:eastAsia="Times New Roman" w:hAnsi="Calibri" w:cs="Times New Roman"/>
          <w:sz w:val="24"/>
          <w:szCs w:val="24"/>
          <w:lang w:eastAsia="fr-FR"/>
        </w:rPr>
      </w:pPr>
    </w:p>
    <w:tbl>
      <w:tblPr>
        <w:tblpPr w:leftFromText="141" w:rightFromText="141" w:vertAnchor="text" w:horzAnchor="margin" w:tblpXSpec="center" w:tblpY="234"/>
        <w:tblW w:w="9776" w:type="dxa"/>
        <w:jc w:val="center"/>
        <w:tblCellMar>
          <w:left w:w="70" w:type="dxa"/>
          <w:right w:w="70" w:type="dxa"/>
        </w:tblCellMar>
        <w:tblLook w:val="0000" w:firstRow="0" w:lastRow="0" w:firstColumn="0" w:lastColumn="0" w:noHBand="0" w:noVBand="0"/>
      </w:tblPr>
      <w:tblGrid>
        <w:gridCol w:w="8216"/>
        <w:gridCol w:w="468"/>
        <w:gridCol w:w="37"/>
        <w:gridCol w:w="37"/>
        <w:gridCol w:w="24"/>
        <w:gridCol w:w="14"/>
        <w:gridCol w:w="980"/>
      </w:tblGrid>
      <w:tr>
        <w:trPr>
          <w:trHeight w:val="586"/>
          <w:jc w:val="center"/>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r>
              <w:rPr>
                <w:rFonts w:eastAsia="Times New Roman" w:cs="Times New Roman"/>
                <w:b/>
                <w:sz w:val="24"/>
                <w:szCs w:val="20"/>
                <w:lang w:eastAsia="fr-FR"/>
              </w:rPr>
              <w:t>Compétences Techniques</w:t>
            </w:r>
            <w:bookmarkStart w:id="15" w:name="__UnoMark__745_2749759877"/>
            <w:bookmarkEnd w:id="15"/>
          </w:p>
        </w:tc>
      </w:tr>
      <w:tr>
        <w:trPr>
          <w:trHeight w:val="531"/>
          <w:jc w:val="center"/>
        </w:trPr>
        <w:tc>
          <w:tcPr>
            <w:tcW w:w="8216" w:type="dxa"/>
            <w:vMerge w:val="restart"/>
            <w:tcBorders>
              <w:top w:val="single" w:sz="4" w:space="0" w:color="000000"/>
              <w:left w:val="single" w:sz="4" w:space="0" w:color="000000"/>
              <w:bottom w:val="single" w:sz="4" w:space="0" w:color="000000"/>
              <w:right w:val="single" w:sz="4" w:space="0" w:color="000000"/>
            </w:tcBorders>
            <w:shd w:val="clear" w:color="auto" w:fill="FFFFFF"/>
          </w:tcPr>
          <w:p>
            <w:pPr>
              <w:tabs>
                <w:tab w:val="left" w:pos="1985"/>
              </w:tabs>
              <w:spacing w:after="0" w:line="240" w:lineRule="auto"/>
            </w:pPr>
            <w:bookmarkStart w:id="16" w:name="__UnoMark__746_2749759877"/>
            <w:bookmarkEnd w:id="16"/>
            <w:r>
              <w:rPr>
                <w:rFonts w:eastAsia="Times New Roman" w:cs="Times New Roman"/>
                <w:b/>
                <w:color w:val="000000"/>
                <w:lang w:eastAsia="fr-FR"/>
              </w:rPr>
              <w:t xml:space="preserve">Niveaux de maitrise </w:t>
            </w:r>
          </w:p>
          <w:p>
            <w:pPr>
              <w:numPr>
                <w:ilvl w:val="0"/>
                <w:numId w:val="1"/>
              </w:numPr>
              <w:tabs>
                <w:tab w:val="left" w:pos="1985"/>
              </w:tabs>
              <w:spacing w:after="0" w:line="240" w:lineRule="auto"/>
              <w:contextualSpacing/>
            </w:pPr>
            <w:r>
              <w:rPr>
                <w:rFonts w:eastAsia="Times New Roman" w:cs="Times New Roman"/>
                <w:b/>
                <w:color w:val="000000"/>
                <w:lang w:eastAsia="fr-FR"/>
              </w:rPr>
              <w:t>Aptitude à acquérir la compétence -&gt; avoir des notions théoriques</w:t>
            </w:r>
          </w:p>
          <w:p>
            <w:pPr>
              <w:numPr>
                <w:ilvl w:val="0"/>
                <w:numId w:val="1"/>
              </w:numPr>
              <w:tabs>
                <w:tab w:val="left" w:pos="1985"/>
              </w:tabs>
              <w:spacing w:after="0" w:line="240" w:lineRule="auto"/>
              <w:contextualSpacing/>
            </w:pPr>
            <w:r>
              <w:rPr>
                <w:rFonts w:eastAsia="Times New Roman" w:cs="Times New Roman"/>
                <w:b/>
                <w:color w:val="000000"/>
                <w:lang w:eastAsia="fr-FR"/>
              </w:rPr>
              <w:t>Élémentaire -&gt; agir de façon réactive</w:t>
            </w:r>
          </w:p>
          <w:p>
            <w:pPr>
              <w:numPr>
                <w:ilvl w:val="0"/>
                <w:numId w:val="1"/>
              </w:numPr>
              <w:tabs>
                <w:tab w:val="left" w:pos="1985"/>
              </w:tabs>
              <w:spacing w:after="0" w:line="240" w:lineRule="auto"/>
              <w:contextualSpacing/>
            </w:pPr>
            <w:r>
              <w:rPr>
                <w:rFonts w:eastAsia="Times New Roman" w:cs="Times New Roman"/>
                <w:b/>
                <w:color w:val="000000"/>
                <w:lang w:eastAsia="fr-FR"/>
              </w:rPr>
              <w:t>Intermédiaire -&gt; agir de façon autonome</w:t>
            </w:r>
          </w:p>
          <w:p>
            <w:pPr>
              <w:numPr>
                <w:ilvl w:val="0"/>
                <w:numId w:val="1"/>
              </w:numPr>
              <w:tabs>
                <w:tab w:val="left" w:pos="1985"/>
              </w:tabs>
              <w:spacing w:after="0" w:line="240" w:lineRule="auto"/>
              <w:contextualSpacing/>
            </w:pPr>
            <w:r>
              <w:rPr>
                <w:rFonts w:eastAsia="Times New Roman" w:cs="Times New Roman"/>
                <w:b/>
                <w:color w:val="000000"/>
                <w:lang w:eastAsia="fr-FR"/>
              </w:rPr>
              <w:t>Avancé -&gt; agir avec excellence</w:t>
            </w:r>
            <w:r>
              <w:rPr>
                <w:rFonts w:eastAsia="Times New Roman" w:cs="Times New Roman"/>
                <w:b/>
                <w:color w:val="000000"/>
                <w:lang w:eastAsia="fr-FR"/>
              </w:rPr>
              <w:br/>
            </w:r>
            <w:bookmarkStart w:id="17" w:name="__UnoMark__747_2749759877"/>
            <w:bookmarkEnd w:id="17"/>
          </w:p>
        </w:tc>
        <w:tc>
          <w:tcPr>
            <w:tcW w:w="1560" w:type="dxa"/>
            <w:gridSpan w:val="6"/>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18" w:name="__UnoMark__748_2749759877"/>
            <w:bookmarkEnd w:id="18"/>
            <w:r>
              <w:rPr>
                <w:rFonts w:eastAsia="Times New Roman" w:cs="Calibri"/>
                <w:lang w:eastAsia="fr-FR"/>
              </w:rPr>
              <w:t xml:space="preserve">Niveau  </w:t>
            </w:r>
          </w:p>
          <w:p>
            <w:pPr>
              <w:tabs>
                <w:tab w:val="left" w:pos="1985"/>
              </w:tabs>
              <w:spacing w:after="0" w:line="240" w:lineRule="auto"/>
              <w:jc w:val="center"/>
            </w:pPr>
            <w:r>
              <w:rPr>
                <w:rFonts w:eastAsia="Times New Roman" w:cs="Calibri"/>
                <w:lang w:eastAsia="fr-FR"/>
              </w:rPr>
              <w:t>attendu en:</w:t>
            </w:r>
            <w:bookmarkStart w:id="19" w:name="__UnoMark__749_2749759877"/>
            <w:bookmarkEnd w:id="19"/>
          </w:p>
        </w:tc>
      </w:tr>
      <w:tr>
        <w:trPr>
          <w:trHeight w:val="846"/>
          <w:jc w:val="center"/>
        </w:trPr>
        <w:tc>
          <w:tcPr>
            <w:tcW w:w="8216" w:type="dxa"/>
            <w:vMerge/>
            <w:tcBorders>
              <w:top w:val="single" w:sz="4" w:space="0" w:color="000000"/>
              <w:left w:val="single" w:sz="4" w:space="0" w:color="000000"/>
              <w:bottom w:val="single" w:sz="4" w:space="0" w:color="000000"/>
              <w:right w:val="single" w:sz="4" w:space="0" w:color="000000"/>
            </w:tcBorders>
            <w:shd w:val="clear" w:color="auto" w:fill="FFFFFF"/>
          </w:tcPr>
          <w:p>
            <w:pPr>
              <w:tabs>
                <w:tab w:val="left" w:pos="1985"/>
              </w:tabs>
              <w:spacing w:after="0" w:line="240" w:lineRule="auto"/>
              <w:rPr>
                <w:rFonts w:ascii="Calibri" w:eastAsia="Times New Roman" w:hAnsi="Calibri" w:cs="Times New Roman"/>
                <w:b/>
                <w:color w:val="000000"/>
                <w:lang w:eastAsia="fr-FR"/>
              </w:rPr>
            </w:pPr>
            <w:bookmarkStart w:id="20" w:name="__UnoMark__751_2749759877"/>
            <w:bookmarkStart w:id="21" w:name="__UnoMark__750_2749759877"/>
            <w:bookmarkEnd w:id="20"/>
            <w:bookmarkEnd w:id="21"/>
          </w:p>
        </w:tc>
        <w:tc>
          <w:tcPr>
            <w:tcW w:w="566"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22" w:name="__UnoMark__752_2749759877"/>
            <w:bookmarkEnd w:id="22"/>
            <w:r>
              <w:rPr>
                <w:rFonts w:eastAsia="Times New Roman" w:cs="Calibri"/>
                <w:lang w:eastAsia="fr-FR"/>
              </w:rPr>
              <w:t>Jury</w:t>
            </w:r>
            <w:bookmarkStart w:id="23" w:name="__UnoMark__753_2749759877"/>
            <w:bookmarkEnd w:id="23"/>
          </w:p>
        </w:tc>
        <w:tc>
          <w:tcPr>
            <w:tcW w:w="994"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24" w:name="__UnoMark__754_2749759877"/>
            <w:bookmarkEnd w:id="24"/>
            <w:r>
              <w:rPr>
                <w:rFonts w:eastAsia="Times New Roman" w:cs="Calibri"/>
                <w:lang w:eastAsia="fr-FR"/>
              </w:rPr>
              <w:t>Fonction</w:t>
            </w:r>
            <w:bookmarkStart w:id="25" w:name="__UnoMark__755_2749759877"/>
            <w:bookmarkEnd w:id="25"/>
          </w:p>
        </w:tc>
      </w:tr>
      <w:tr>
        <w:trPr>
          <w:trHeight w:val="397"/>
          <w:jc w:val="center"/>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26" w:name="__UnoMark__756_2749759877"/>
            <w:bookmarkEnd w:id="26"/>
            <w:r>
              <w:rPr>
                <w:rFonts w:eastAsia="Times New Roman" w:cs="Times New Roman"/>
                <w:b/>
                <w:lang w:eastAsia="fr-FR"/>
              </w:rPr>
              <w:t>Réglementation</w:t>
            </w:r>
            <w:bookmarkStart w:id="27" w:name="__UnoMark__757_2749759877"/>
            <w:bookmarkEnd w:id="27"/>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28" w:name="__UnoMark__758_2749759877"/>
            <w:bookmarkEnd w:id="28"/>
            <w:r>
              <w:rPr>
                <w:rFonts w:eastAsia="Times New Roman" w:cs="Times New Roman"/>
                <w:lang w:eastAsia="fr-FR"/>
              </w:rPr>
              <w:t xml:space="preserve">Avoir la capacité de lire et comprendre un texte juridique. </w:t>
            </w:r>
            <w:bookmarkStart w:id="29" w:name="__UnoMark__759_2749759877"/>
            <w:bookmarkEnd w:id="29"/>
          </w:p>
        </w:tc>
        <w:tc>
          <w:tcPr>
            <w:tcW w:w="580"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30" w:name="__UnoMark__760_2749759877"/>
            <w:bookmarkEnd w:id="30"/>
            <w:r>
              <w:rPr>
                <w:rFonts w:eastAsia="Times New Roman" w:cs="Calibri"/>
                <w:lang w:eastAsia="fr-FR"/>
              </w:rPr>
              <w:t xml:space="preserve">B </w:t>
            </w:r>
            <w:bookmarkStart w:id="31" w:name="__UnoMark__761_2749759877"/>
            <w:bookmarkEnd w:id="31"/>
          </w:p>
        </w:tc>
        <w:tc>
          <w:tcPr>
            <w:tcW w:w="98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32" w:name="__UnoMark__762_2749759877"/>
            <w:bookmarkEnd w:id="32"/>
            <w:r>
              <w:rPr>
                <w:rFonts w:eastAsia="Times New Roman" w:cs="Calibri"/>
                <w:lang w:eastAsia="fr-FR"/>
              </w:rPr>
              <w:t>C</w:t>
            </w:r>
            <w:bookmarkStart w:id="33" w:name="__UnoMark__763_2749759877"/>
            <w:bookmarkEnd w:id="33"/>
          </w:p>
        </w:tc>
      </w:tr>
      <w:tr>
        <w:trPr>
          <w:trHeight w:val="397"/>
          <w:jc w:val="center"/>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34" w:name="__UnoMark__764_2749759877"/>
            <w:bookmarkEnd w:id="34"/>
            <w:r>
              <w:rPr>
                <w:rFonts w:eastAsia="Times New Roman" w:cs="Calibri"/>
                <w:b/>
                <w:lang w:eastAsia="fr-FR"/>
              </w:rPr>
              <w:t>Pédagogique</w:t>
            </w:r>
            <w:bookmarkStart w:id="35" w:name="__UnoMark__765_2749759877"/>
            <w:bookmarkEnd w:id="35"/>
          </w:p>
        </w:tc>
      </w:tr>
      <w:tr>
        <w:trPr>
          <w:trHeight w:val="39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36" w:name="__UnoMark__766_2749759877"/>
            <w:bookmarkEnd w:id="36"/>
            <w:r>
              <w:rPr>
                <w:rFonts w:eastAsia="Times New Roman" w:cs="Times New Roman"/>
                <w:lang w:eastAsia="fr-FR"/>
              </w:rPr>
              <w:t>Disposer de compétences pédagogiques et montrer un intérêt pour la recherche en éducation adaptée au niveau d’enseignement concerné.</w:t>
            </w:r>
            <w:bookmarkStart w:id="37" w:name="__UnoMark__767_2749759877"/>
            <w:bookmarkEnd w:id="37"/>
          </w:p>
        </w:tc>
        <w:tc>
          <w:tcPr>
            <w:tcW w:w="54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38" w:name="__UnoMark__768_2749759877"/>
            <w:bookmarkEnd w:id="38"/>
            <w:r>
              <w:rPr>
                <w:rFonts w:eastAsia="Times New Roman" w:cs="Calibri"/>
                <w:lang w:eastAsia="fr-FR"/>
              </w:rPr>
              <w:t xml:space="preserve">C </w:t>
            </w:r>
            <w:bookmarkStart w:id="39" w:name="__UnoMark__769_2749759877"/>
            <w:bookmarkEnd w:id="39"/>
          </w:p>
        </w:tc>
        <w:tc>
          <w:tcPr>
            <w:tcW w:w="101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40" w:name="__UnoMark__770_2749759877"/>
            <w:bookmarkEnd w:id="40"/>
            <w:r>
              <w:rPr>
                <w:rFonts w:eastAsia="Times New Roman" w:cs="Calibri"/>
                <w:lang w:eastAsia="fr-FR"/>
              </w:rPr>
              <w:t>D</w:t>
            </w:r>
            <w:bookmarkStart w:id="41" w:name="__UnoMark__771_2749759877"/>
            <w:bookmarkEnd w:id="41"/>
          </w:p>
        </w:tc>
      </w:tr>
      <w:tr>
        <w:trPr>
          <w:trHeight w:val="397"/>
          <w:jc w:val="center"/>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42" w:name="__UnoMark__772_2749759877"/>
            <w:bookmarkEnd w:id="42"/>
            <w:r>
              <w:rPr>
                <w:rFonts w:eastAsia="Times New Roman" w:cs="Calibri"/>
                <w:b/>
                <w:lang w:eastAsia="fr-FR"/>
              </w:rPr>
              <w:t>Numérique</w:t>
            </w:r>
            <w:bookmarkStart w:id="43" w:name="__UnoMark__773_2749759877"/>
            <w:bookmarkEnd w:id="43"/>
          </w:p>
        </w:tc>
      </w:tr>
      <w:tr>
        <w:trPr>
          <w:trHeight w:val="78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44" w:name="__UnoMark__774_2749759877"/>
            <w:bookmarkEnd w:id="44"/>
            <w:r>
              <w:rPr>
                <w:rFonts w:eastAsia="Times New Roman" w:cs="Calibri"/>
                <w:color w:val="000000"/>
                <w:lang w:eastAsia="fr-FR"/>
              </w:rPr>
              <w:t xml:space="preserve">Être capable de piloter l'implémentation du numérique dans les dispositifs d'enseignement et de gouvernance dans le cadre du développement de l'environnement numérique de son établissement et de l’enseignement en Communauté française. </w:t>
            </w:r>
            <w:bookmarkStart w:id="45" w:name="__UnoMark__775_2749759877"/>
            <w:bookmarkEnd w:id="45"/>
          </w:p>
        </w:tc>
        <w:tc>
          <w:tcPr>
            <w:tcW w:w="542"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46" w:name="__UnoMark__776_2749759877"/>
            <w:bookmarkEnd w:id="46"/>
            <w:r>
              <w:rPr>
                <w:rFonts w:eastAsia="Times New Roman" w:cs="Calibri"/>
                <w:lang w:eastAsia="fr-FR"/>
              </w:rPr>
              <w:t xml:space="preserve">B </w:t>
            </w:r>
            <w:bookmarkStart w:id="47" w:name="__UnoMark__777_2749759877"/>
            <w:bookmarkEnd w:id="47"/>
          </w:p>
        </w:tc>
        <w:tc>
          <w:tcPr>
            <w:tcW w:w="101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48" w:name="__UnoMark__778_2749759877"/>
            <w:bookmarkEnd w:id="48"/>
            <w:r>
              <w:rPr>
                <w:rFonts w:eastAsia="Times New Roman" w:cs="Calibri"/>
                <w:lang w:eastAsia="fr-FR"/>
              </w:rPr>
              <w:t>C</w:t>
            </w:r>
            <w:bookmarkStart w:id="49" w:name="__UnoMark__779_2749759877"/>
            <w:bookmarkEnd w:id="49"/>
          </w:p>
        </w:tc>
      </w:tr>
      <w:tr>
        <w:trPr>
          <w:trHeight w:val="397"/>
          <w:jc w:val="center"/>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50" w:name="__UnoMark__780_2749759877"/>
            <w:bookmarkEnd w:id="50"/>
            <w:r>
              <w:rPr>
                <w:rFonts w:eastAsia="Times New Roman" w:cs="Calibri"/>
                <w:b/>
                <w:lang w:eastAsia="fr-FR"/>
              </w:rPr>
              <w:t xml:space="preserve">Méthodologie </w:t>
            </w:r>
            <w:bookmarkStart w:id="51" w:name="__UnoMark__781_2749759877"/>
            <w:bookmarkEnd w:id="51"/>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52" w:name="__UnoMark__782_2749759877"/>
            <w:bookmarkEnd w:id="52"/>
            <w:r>
              <w:rPr>
                <w:rFonts w:eastAsia="Times New Roman" w:cs="Calibri"/>
                <w:color w:val="000000"/>
                <w:lang w:eastAsia="fr-FR"/>
              </w:rPr>
              <w:t>Être capable de gérer des réunions.</w:t>
            </w:r>
            <w:bookmarkStart w:id="53" w:name="__UnoMark__783_2749759877"/>
            <w:bookmarkEnd w:id="53"/>
          </w:p>
        </w:tc>
        <w:tc>
          <w:tcPr>
            <w:tcW w:w="5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54" w:name="__UnoMark__784_2749759877"/>
            <w:bookmarkEnd w:id="54"/>
            <w:r>
              <w:rPr>
                <w:rFonts w:eastAsia="Times New Roman" w:cs="Calibri"/>
                <w:lang w:eastAsia="fr-FR"/>
              </w:rPr>
              <w:t xml:space="preserve">C </w:t>
            </w:r>
            <w:bookmarkStart w:id="55" w:name="__UnoMark__785_2749759877"/>
            <w:bookmarkEnd w:id="55"/>
          </w:p>
        </w:tc>
        <w:tc>
          <w:tcPr>
            <w:tcW w:w="105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56" w:name="__UnoMark__786_2749759877"/>
            <w:bookmarkEnd w:id="56"/>
            <w:r>
              <w:rPr>
                <w:rFonts w:eastAsia="Times New Roman" w:cs="Calibri"/>
                <w:lang w:eastAsia="fr-FR"/>
              </w:rPr>
              <w:t>D</w:t>
            </w:r>
            <w:bookmarkStart w:id="57" w:name="__UnoMark__787_2749759877"/>
            <w:bookmarkEnd w:id="57"/>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58" w:name="__UnoMark__788_2749759877"/>
            <w:bookmarkEnd w:id="58"/>
            <w:r>
              <w:rPr>
                <w:rFonts w:eastAsia="Times New Roman" w:cs="Calibri"/>
                <w:color w:val="000000"/>
                <w:lang w:eastAsia="fr-FR"/>
              </w:rPr>
              <w:t>Être capable de gérer des conflits.</w:t>
            </w:r>
            <w:bookmarkStart w:id="59" w:name="__UnoMark__789_2749759877"/>
            <w:bookmarkEnd w:id="59"/>
          </w:p>
        </w:tc>
        <w:tc>
          <w:tcPr>
            <w:tcW w:w="5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60" w:name="__UnoMark__790_2749759877"/>
            <w:bookmarkEnd w:id="60"/>
            <w:r>
              <w:rPr>
                <w:rFonts w:eastAsia="Times New Roman" w:cs="Calibri"/>
                <w:lang w:eastAsia="fr-FR"/>
              </w:rPr>
              <w:t xml:space="preserve">C </w:t>
            </w:r>
            <w:bookmarkStart w:id="61" w:name="__UnoMark__791_2749759877"/>
            <w:bookmarkEnd w:id="61"/>
          </w:p>
        </w:tc>
        <w:tc>
          <w:tcPr>
            <w:tcW w:w="105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62" w:name="__UnoMark__792_2749759877"/>
            <w:bookmarkEnd w:id="62"/>
            <w:r>
              <w:rPr>
                <w:rFonts w:eastAsia="Times New Roman" w:cs="Calibri"/>
                <w:lang w:eastAsia="fr-FR"/>
              </w:rPr>
              <w:t>D</w:t>
            </w:r>
            <w:bookmarkStart w:id="63" w:name="__UnoMark__793_2749759877"/>
            <w:bookmarkEnd w:id="63"/>
          </w:p>
        </w:tc>
      </w:tr>
      <w:tr>
        <w:trPr>
          <w:trHeight w:val="397"/>
          <w:jc w:val="center"/>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64" w:name="__UnoMark__794_2749759877"/>
            <w:bookmarkEnd w:id="64"/>
            <w:r>
              <w:rPr>
                <w:rFonts w:eastAsia="Times New Roman" w:cs="Calibri"/>
                <w:b/>
                <w:lang w:eastAsia="fr-FR"/>
              </w:rPr>
              <w:t>Métier</w:t>
            </w:r>
            <w:bookmarkStart w:id="65" w:name="__UnoMark__795_2749759877"/>
            <w:bookmarkEnd w:id="65"/>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66" w:name="__UnoMark__796_2749759877"/>
            <w:bookmarkStart w:id="67" w:name="__UnoMark__797_2749759877"/>
            <w:bookmarkStart w:id="68" w:name="__UnoMark__802_2749759877"/>
            <w:bookmarkEnd w:id="66"/>
            <w:bookmarkEnd w:id="67"/>
            <w:bookmarkEnd w:id="68"/>
            <w:r>
              <w:rPr>
                <w:rFonts w:eastAsia="Times New Roman" w:cs="Calibri"/>
                <w:color w:val="000000"/>
                <w:lang w:eastAsia="fr-FR"/>
              </w:rPr>
              <w:t>Avoir des compétences en gestion administrative, financière et matérielle de l’établissement.</w:t>
            </w:r>
            <w:bookmarkStart w:id="69" w:name="__UnoMark__803_2749759877"/>
            <w:bookmarkEnd w:id="69"/>
          </w:p>
        </w:tc>
        <w:tc>
          <w:tcPr>
            <w:tcW w:w="5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70" w:name="__UnoMark__804_2749759877"/>
            <w:bookmarkEnd w:id="70"/>
            <w:r>
              <w:rPr>
                <w:rFonts w:eastAsia="Times New Roman" w:cs="Calibri"/>
                <w:lang w:eastAsia="fr-FR"/>
              </w:rPr>
              <w:t>B</w:t>
            </w:r>
            <w:bookmarkStart w:id="71" w:name="__UnoMark__805_2749759877"/>
            <w:bookmarkEnd w:id="71"/>
          </w:p>
        </w:tc>
        <w:tc>
          <w:tcPr>
            <w:tcW w:w="105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72" w:name="__UnoMark__806_2749759877"/>
            <w:bookmarkEnd w:id="72"/>
            <w:r>
              <w:rPr>
                <w:rFonts w:eastAsia="Times New Roman" w:cs="Calibri"/>
                <w:lang w:eastAsia="fr-FR"/>
              </w:rPr>
              <w:t>C</w:t>
            </w:r>
            <w:bookmarkStart w:id="73" w:name="__UnoMark__807_2749759877"/>
            <w:bookmarkEnd w:id="73"/>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74" w:name="__UnoMark__808_2749759877"/>
            <w:bookmarkEnd w:id="74"/>
            <w:r>
              <w:rPr>
                <w:rFonts w:eastAsia="Times New Roman" w:cs="Calibri"/>
                <w:color w:val="000000"/>
                <w:lang w:eastAsia="fr-FR"/>
              </w:rPr>
              <w:t>Avoir des compétences de gestion de l’infrastructure de l'école.</w:t>
            </w:r>
            <w:bookmarkStart w:id="75" w:name="__UnoMark__809_2749759877"/>
            <w:bookmarkEnd w:id="75"/>
          </w:p>
        </w:tc>
        <w:tc>
          <w:tcPr>
            <w:tcW w:w="5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76" w:name="__UnoMark__810_2749759877"/>
            <w:bookmarkEnd w:id="76"/>
            <w:r>
              <w:rPr>
                <w:rFonts w:eastAsia="Times New Roman" w:cs="Calibri"/>
                <w:lang w:eastAsia="fr-FR"/>
              </w:rPr>
              <w:t xml:space="preserve">B </w:t>
            </w:r>
            <w:bookmarkStart w:id="77" w:name="__UnoMark__811_2749759877"/>
            <w:bookmarkEnd w:id="77"/>
          </w:p>
        </w:tc>
        <w:tc>
          <w:tcPr>
            <w:tcW w:w="105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78" w:name="__UnoMark__812_2749759877"/>
            <w:bookmarkStart w:id="79" w:name="__UnoMark__813_2749759877"/>
            <w:bookmarkEnd w:id="78"/>
            <w:bookmarkEnd w:id="79"/>
            <w:r>
              <w:rPr>
                <w:rFonts w:eastAsia="Times New Roman" w:cs="Calibri"/>
                <w:lang w:eastAsia="fr-FR"/>
              </w:rPr>
              <w:t>B</w:t>
            </w:r>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80" w:name="__UnoMark__814_2749759877"/>
            <w:bookmarkEnd w:id="80"/>
            <w:r>
              <w:rPr>
                <w:rFonts w:eastAsia="Times New Roman" w:cs="Calibri"/>
                <w:color w:val="000000"/>
                <w:lang w:eastAsia="fr-FR"/>
              </w:rPr>
              <w:t xml:space="preserve">Avoir des compétences de gestion des ressources financières. </w:t>
            </w:r>
            <w:bookmarkStart w:id="81" w:name="__UnoMark__815_2749759877"/>
            <w:bookmarkEnd w:id="81"/>
          </w:p>
        </w:tc>
        <w:tc>
          <w:tcPr>
            <w:tcW w:w="5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82" w:name="__UnoMark__816_2749759877"/>
            <w:bookmarkEnd w:id="82"/>
            <w:r>
              <w:rPr>
                <w:rFonts w:eastAsia="Times New Roman" w:cs="Calibri"/>
                <w:lang w:eastAsia="fr-FR"/>
              </w:rPr>
              <w:t xml:space="preserve">A </w:t>
            </w:r>
            <w:bookmarkStart w:id="83" w:name="__UnoMark__817_2749759877"/>
            <w:bookmarkEnd w:id="83"/>
          </w:p>
        </w:tc>
        <w:tc>
          <w:tcPr>
            <w:tcW w:w="105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84" w:name="__UnoMark__818_2749759877"/>
            <w:bookmarkStart w:id="85" w:name="__UnoMark__819_2749759877"/>
            <w:bookmarkEnd w:id="84"/>
            <w:bookmarkEnd w:id="85"/>
            <w:r>
              <w:rPr>
                <w:rFonts w:eastAsia="Times New Roman" w:cs="Calibri"/>
                <w:lang w:eastAsia="fr-FR"/>
              </w:rPr>
              <w:t>B</w:t>
            </w:r>
          </w:p>
        </w:tc>
      </w:tr>
      <w:tr>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86" w:name="__UnoMark__820_2749759877"/>
            <w:bookmarkEnd w:id="86"/>
            <w:r>
              <w:rPr>
                <w:rFonts w:eastAsia="Times New Roman" w:cs="Calibri"/>
                <w:color w:val="000000"/>
                <w:lang w:eastAsia="fr-FR"/>
              </w:rPr>
              <w:t xml:space="preserve">Avoir des compétences en gestion des ressources humaines. </w:t>
            </w:r>
            <w:bookmarkStart w:id="87" w:name="__UnoMark__821_2749759877"/>
            <w:bookmarkEnd w:id="87"/>
          </w:p>
        </w:tc>
        <w:tc>
          <w:tcPr>
            <w:tcW w:w="505"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88" w:name="__UnoMark__822_2749759877"/>
            <w:bookmarkStart w:id="89" w:name="__UnoMark__823_2749759877"/>
            <w:bookmarkEnd w:id="88"/>
            <w:bookmarkEnd w:id="89"/>
            <w:r>
              <w:rPr>
                <w:rFonts w:eastAsia="Times New Roman" w:cs="Calibri"/>
                <w:lang w:eastAsia="fr-FR"/>
              </w:rPr>
              <w:t>C</w:t>
            </w:r>
          </w:p>
        </w:tc>
        <w:tc>
          <w:tcPr>
            <w:tcW w:w="105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90" w:name="__UnoMark__824_2749759877"/>
            <w:bookmarkStart w:id="91" w:name="__UnoMark__825_2749759877"/>
            <w:bookmarkEnd w:id="90"/>
            <w:bookmarkEnd w:id="91"/>
            <w:r>
              <w:t>D</w:t>
            </w:r>
          </w:p>
        </w:tc>
      </w:tr>
      <w:tr>
        <w:trPr>
          <w:trHeight w:val="397"/>
          <w:jc w:val="center"/>
        </w:trPr>
        <w:tc>
          <w:tcPr>
            <w:tcW w:w="9776" w:type="dxa"/>
            <w:gridSpan w:val="7"/>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pPr>
            <w:bookmarkStart w:id="92" w:name="__UnoMark__826_2749759877"/>
            <w:bookmarkEnd w:id="92"/>
            <w:r>
              <w:rPr>
                <w:rFonts w:eastAsia="Times New Roman" w:cs="Calibri"/>
                <w:b/>
                <w:lang w:eastAsia="fr-FR"/>
              </w:rPr>
              <w:t>Communication</w:t>
            </w:r>
            <w:bookmarkStart w:id="93" w:name="__UnoMark__827_2749759877"/>
            <w:bookmarkEnd w:id="93"/>
          </w:p>
        </w:tc>
      </w:tr>
      <w:tr>
        <w:trPr>
          <w:trHeight w:val="39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94" w:name="__UnoMark__828_2749759877"/>
            <w:bookmarkEnd w:id="94"/>
            <w:r>
              <w:rPr>
                <w:rFonts w:eastAsia="Times New Roman" w:cs="Calibri"/>
                <w:lang w:eastAsia="fr-FR"/>
              </w:rPr>
              <w:t xml:space="preserve">Maitriser les techniques de la communication écrite. </w:t>
            </w:r>
            <w:bookmarkStart w:id="95" w:name="__UnoMark__829_2749759877"/>
            <w:bookmarkEnd w:id="95"/>
          </w:p>
        </w:tc>
        <w:tc>
          <w:tcPr>
            <w:tcW w:w="4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96" w:name="__UnoMark__830_2749759877"/>
            <w:bookmarkEnd w:id="96"/>
            <w:r>
              <w:rPr>
                <w:rFonts w:eastAsia="Times New Roman" w:cs="Calibri"/>
                <w:lang w:eastAsia="fr-FR"/>
              </w:rPr>
              <w:t>C</w:t>
            </w:r>
            <w:bookmarkStart w:id="97" w:name="__UnoMark__831_2749759877"/>
            <w:bookmarkEnd w:id="97"/>
          </w:p>
        </w:tc>
        <w:tc>
          <w:tcPr>
            <w:tcW w:w="1092"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98" w:name="__UnoMark__832_2749759877"/>
            <w:bookmarkEnd w:id="98"/>
            <w:r>
              <w:rPr>
                <w:rFonts w:eastAsia="Times New Roman" w:cs="Calibri"/>
                <w:lang w:eastAsia="fr-FR"/>
              </w:rPr>
              <w:t>D</w:t>
            </w:r>
            <w:bookmarkStart w:id="99" w:name="__UnoMark__833_2749759877"/>
            <w:bookmarkEnd w:id="99"/>
          </w:p>
        </w:tc>
      </w:tr>
      <w:tr>
        <w:trPr>
          <w:trHeight w:val="39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both"/>
            </w:pPr>
            <w:bookmarkStart w:id="100" w:name="__UnoMark__834_2749759877"/>
            <w:bookmarkEnd w:id="100"/>
            <w:r>
              <w:rPr>
                <w:rFonts w:eastAsia="Times New Roman" w:cs="Calibri"/>
                <w:lang w:eastAsia="fr-FR"/>
              </w:rPr>
              <w:t xml:space="preserve">Maitriser les techniques de la communication orale. </w:t>
            </w:r>
            <w:bookmarkStart w:id="101" w:name="__UnoMark__835_2749759877"/>
            <w:bookmarkEnd w:id="101"/>
          </w:p>
        </w:tc>
        <w:tc>
          <w:tcPr>
            <w:tcW w:w="46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102" w:name="__UnoMark__836_2749759877"/>
            <w:bookmarkEnd w:id="102"/>
            <w:r>
              <w:rPr>
                <w:rFonts w:eastAsia="Times New Roman" w:cs="Calibri"/>
                <w:lang w:eastAsia="fr-FR"/>
              </w:rPr>
              <w:t xml:space="preserve">C  </w:t>
            </w:r>
            <w:bookmarkStart w:id="103" w:name="__UnoMark__837_2749759877"/>
            <w:bookmarkEnd w:id="103"/>
          </w:p>
        </w:tc>
        <w:tc>
          <w:tcPr>
            <w:tcW w:w="1092"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pPr>
            <w:bookmarkStart w:id="104" w:name="__UnoMark__838_2749759877"/>
            <w:bookmarkEnd w:id="104"/>
            <w:r>
              <w:rPr>
                <w:rFonts w:eastAsia="Times New Roman" w:cs="Calibri"/>
                <w:lang w:eastAsia="fr-FR"/>
              </w:rPr>
              <w:t>D</w:t>
            </w:r>
          </w:p>
        </w:tc>
      </w:tr>
    </w:tbl>
    <w:p>
      <w:pPr>
        <w:tabs>
          <w:tab w:val="left" w:pos="1985"/>
        </w:tabs>
        <w:spacing w:after="0" w:line="240" w:lineRule="auto"/>
        <w:jc w:val="both"/>
        <w:rPr>
          <w:rFonts w:ascii="Calibri" w:eastAsia="Times New Roman" w:hAnsi="Calibri" w:cs="Times New Roman"/>
          <w:sz w:val="24"/>
          <w:szCs w:val="24"/>
          <w:lang w:eastAsia="fr-FR"/>
        </w:rPr>
      </w:pPr>
    </w:p>
    <w:p>
      <w:pPr>
        <w:tabs>
          <w:tab w:val="left" w:pos="1985"/>
        </w:tabs>
        <w:spacing w:after="0" w:line="240" w:lineRule="auto"/>
        <w:jc w:val="both"/>
        <w:rPr>
          <w:rFonts w:ascii="Calibri" w:eastAsia="Times New Roman" w:hAnsi="Calibri" w:cs="Times New Roman"/>
          <w:sz w:val="24"/>
          <w:szCs w:val="24"/>
          <w:lang w:eastAsia="fr-FR"/>
        </w:rPr>
        <w:sectPr>
          <w:headerReference w:type="default" r:id="rId19"/>
          <w:footerReference w:type="default" r:id="rId20"/>
          <w:pgSz w:w="11906" w:h="16838"/>
          <w:pgMar w:top="1417" w:right="1417" w:bottom="1417" w:left="1417" w:header="708" w:footer="16" w:gutter="0"/>
          <w:cols w:space="720"/>
          <w:formProt w:val="0"/>
          <w:docGrid w:linePitch="360" w:charSpace="4096"/>
        </w:sectPr>
      </w:pPr>
    </w:p>
    <w:tbl>
      <w:tblPr>
        <w:tblpPr w:leftFromText="141" w:rightFromText="141" w:vertAnchor="text" w:horzAnchor="margin" w:tblpY="-836"/>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001D77"/>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Profil de compétence</w:t>
            </w:r>
          </w:p>
        </w:tc>
      </w:tr>
    </w:tbl>
    <w:tbl>
      <w:tblPr>
        <w:tblpPr w:leftFromText="141" w:rightFromText="141" w:horzAnchor="margin" w:tblpXSpec="center" w:tblpY="337"/>
        <w:tblW w:w="10363" w:type="dxa"/>
        <w:jc w:val="center"/>
        <w:tblCellMar>
          <w:left w:w="70" w:type="dxa"/>
          <w:right w:w="70" w:type="dxa"/>
        </w:tblCellMar>
        <w:tblLook w:val="0000" w:firstRow="0" w:lastRow="0" w:firstColumn="0" w:lastColumn="0" w:noHBand="0" w:noVBand="0"/>
      </w:tblPr>
      <w:tblGrid>
        <w:gridCol w:w="8528"/>
        <w:gridCol w:w="613"/>
        <w:gridCol w:w="38"/>
        <w:gridCol w:w="37"/>
        <w:gridCol w:w="17"/>
        <w:gridCol w:w="970"/>
        <w:gridCol w:w="160"/>
      </w:tblGrid>
      <w:tr>
        <w:trPr>
          <w:cantSplit/>
          <w:trHeight w:val="564"/>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Times New Roman"/>
                <w:b/>
                <w:color w:val="1F497D"/>
                <w:lang w:eastAsia="fr-FR"/>
              </w:rPr>
            </w:pPr>
            <w:r>
              <w:rPr>
                <w:rFonts w:eastAsia="Times New Roman" w:cs="Times New Roman"/>
                <w:b/>
                <w:sz w:val="24"/>
                <w:lang w:eastAsia="fr-FR"/>
              </w:rPr>
              <w:t>Compétences Comportementales</w:t>
            </w:r>
          </w:p>
        </w:tc>
        <w:tc>
          <w:tcPr>
            <w:tcW w:w="160" w:type="dxa"/>
            <w:shd w:val="clear" w:color="auto" w:fill="auto"/>
          </w:tcPr>
          <w:p/>
        </w:tc>
      </w:tr>
      <w:tr>
        <w:trPr>
          <w:gridAfter w:val="1"/>
          <w:wAfter w:w="160" w:type="dxa"/>
          <w:cantSplit/>
          <w:trHeight w:val="546"/>
          <w:jc w:val="center"/>
        </w:trPr>
        <w:tc>
          <w:tcPr>
            <w:tcW w:w="852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Times New Roman"/>
                <w:b/>
                <w:color w:val="000000"/>
                <w:lang w:eastAsia="fr-FR"/>
              </w:rPr>
            </w:pPr>
            <w:r>
              <w:rPr>
                <w:rFonts w:eastAsia="Times New Roman" w:cs="Times New Roman"/>
                <w:b/>
                <w:color w:val="000000"/>
                <w:lang w:eastAsia="fr-FR"/>
              </w:rPr>
              <w:t>Niveaux de maitrise</w:t>
            </w:r>
          </w:p>
          <w:p>
            <w:pPr>
              <w:numPr>
                <w:ilvl w:val="0"/>
                <w:numId w:val="3"/>
              </w:numPr>
              <w:tabs>
                <w:tab w:val="left" w:pos="1985"/>
              </w:tabs>
              <w:spacing w:after="0" w:line="240" w:lineRule="auto"/>
              <w:contextualSpacing/>
              <w:rPr>
                <w:rFonts w:ascii="Calibri" w:eastAsia="Times New Roman" w:hAnsi="Calibri" w:cs="Times New Roman"/>
                <w:b/>
                <w:color w:val="000000"/>
                <w:lang w:eastAsia="fr-FR"/>
              </w:rPr>
            </w:pPr>
            <w:r>
              <w:rPr>
                <w:rFonts w:eastAsia="Times New Roman" w:cs="Times New Roman"/>
                <w:b/>
                <w:color w:val="000000"/>
                <w:lang w:eastAsia="fr-FR"/>
              </w:rPr>
              <w:t>Aptitude à acquérir la compétence -&gt; avoir des notions théoriques</w:t>
            </w:r>
          </w:p>
          <w:p>
            <w:pPr>
              <w:numPr>
                <w:ilvl w:val="0"/>
                <w:numId w:val="3"/>
              </w:numPr>
              <w:tabs>
                <w:tab w:val="left" w:pos="1985"/>
              </w:tabs>
              <w:spacing w:after="0" w:line="240" w:lineRule="auto"/>
              <w:contextualSpacing/>
              <w:rPr>
                <w:rFonts w:ascii="Calibri" w:eastAsia="Times New Roman" w:hAnsi="Calibri" w:cs="Times New Roman"/>
                <w:b/>
                <w:color w:val="000000"/>
                <w:lang w:eastAsia="fr-FR"/>
              </w:rPr>
            </w:pPr>
            <w:r>
              <w:rPr>
                <w:rFonts w:eastAsia="Times New Roman" w:cs="Times New Roman"/>
                <w:b/>
                <w:color w:val="000000"/>
                <w:lang w:eastAsia="fr-FR"/>
              </w:rPr>
              <w:t>Élémentaire -&gt; agir de façon réactive, avec accompagnement</w:t>
            </w:r>
          </w:p>
          <w:p>
            <w:pPr>
              <w:numPr>
                <w:ilvl w:val="0"/>
                <w:numId w:val="3"/>
              </w:numPr>
              <w:tabs>
                <w:tab w:val="left" w:pos="1985"/>
              </w:tabs>
              <w:spacing w:after="0" w:line="240" w:lineRule="auto"/>
              <w:contextualSpacing/>
              <w:rPr>
                <w:rFonts w:ascii="Calibri" w:eastAsia="Times New Roman" w:hAnsi="Calibri" w:cs="Times New Roman"/>
                <w:b/>
                <w:color w:val="000000"/>
                <w:lang w:eastAsia="fr-FR"/>
              </w:rPr>
            </w:pPr>
            <w:r>
              <w:rPr>
                <w:rFonts w:eastAsia="Times New Roman" w:cs="Times New Roman"/>
                <w:b/>
                <w:color w:val="000000"/>
                <w:lang w:eastAsia="fr-FR"/>
              </w:rPr>
              <w:t>Intermédiaire -&gt; agir de façon proactive, autonome</w:t>
            </w:r>
          </w:p>
          <w:p>
            <w:pPr>
              <w:numPr>
                <w:ilvl w:val="0"/>
                <w:numId w:val="3"/>
              </w:numPr>
              <w:tabs>
                <w:tab w:val="left" w:pos="1985"/>
              </w:tabs>
              <w:spacing w:after="0" w:line="240" w:lineRule="auto"/>
              <w:contextualSpacing/>
              <w:rPr>
                <w:rFonts w:ascii="Calibri" w:eastAsia="Times New Roman" w:hAnsi="Calibri" w:cs="Times New Roman"/>
                <w:b/>
                <w:color w:val="1F497D"/>
                <w:lang w:eastAsia="fr-FR"/>
              </w:rPr>
            </w:pPr>
            <w:r>
              <w:rPr>
                <w:rFonts w:eastAsia="Times New Roman" w:cs="Times New Roman"/>
                <w:b/>
                <w:color w:val="000000"/>
                <w:lang w:eastAsia="fr-FR"/>
              </w:rPr>
              <w:t>Avancé -&gt; agir avec excellence, faire preuve d’anticipation</w:t>
            </w:r>
          </w:p>
          <w:p>
            <w:pPr>
              <w:tabs>
                <w:tab w:val="left" w:pos="1985"/>
              </w:tabs>
              <w:spacing w:after="0" w:line="240" w:lineRule="auto"/>
              <w:ind w:left="785"/>
              <w:contextualSpacing/>
              <w:rPr>
                <w:rFonts w:ascii="Calibri" w:eastAsia="Times New Roman" w:hAnsi="Calibri" w:cs="Times New Roman"/>
                <w:b/>
                <w:color w:val="1F497D"/>
                <w:lang w:eastAsia="fr-FR"/>
              </w:rPr>
            </w:pPr>
          </w:p>
        </w:tc>
        <w:tc>
          <w:tcPr>
            <w:tcW w:w="1675"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pPr>
              <w:spacing w:after="0" w:line="240" w:lineRule="auto"/>
              <w:jc w:val="center"/>
              <w:rPr>
                <w:rFonts w:ascii="Times New Roman" w:eastAsia="Times New Roman" w:hAnsi="Times New Roman" w:cs="Times New Roman"/>
                <w:sz w:val="24"/>
                <w:szCs w:val="24"/>
                <w:lang w:val="fr-FR" w:eastAsia="fr-FR"/>
              </w:rPr>
            </w:pPr>
            <w:r>
              <w:rPr>
                <w:rFonts w:eastAsia="Times New Roman" w:cs="Calibri"/>
                <w:lang w:eastAsia="fr-FR"/>
              </w:rPr>
              <w:t xml:space="preserve">Niveau attendu en : </w:t>
            </w:r>
          </w:p>
        </w:tc>
      </w:tr>
      <w:tr>
        <w:trPr>
          <w:gridAfter w:val="1"/>
          <w:wAfter w:w="160" w:type="dxa"/>
          <w:cantSplit/>
          <w:trHeight w:val="1056"/>
          <w:jc w:val="center"/>
        </w:trPr>
        <w:tc>
          <w:tcPr>
            <w:tcW w:w="852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Times New Roman"/>
                <w:b/>
                <w:color w:val="000000"/>
                <w:lang w:eastAsia="fr-FR"/>
              </w:rPr>
            </w:pPr>
          </w:p>
        </w:tc>
        <w:tc>
          <w:tcPr>
            <w:tcW w:w="70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spacing w:after="0" w:line="240" w:lineRule="auto"/>
              <w:jc w:val="center"/>
              <w:rPr>
                <w:rFonts w:ascii="Calibri" w:eastAsia="Times New Roman" w:hAnsi="Calibri" w:cs="Calibri"/>
                <w:lang w:eastAsia="fr-FR"/>
              </w:rPr>
            </w:pPr>
            <w:r>
              <w:rPr>
                <w:rFonts w:eastAsia="Times New Roman" w:cs="Calibri"/>
                <w:lang w:eastAsia="fr-FR"/>
              </w:rPr>
              <w:t>Jury</w:t>
            </w:r>
          </w:p>
        </w:tc>
        <w:tc>
          <w:tcPr>
            <w:tcW w:w="970" w:type="dxa"/>
            <w:tcBorders>
              <w:top w:val="single" w:sz="4" w:space="0" w:color="000000"/>
              <w:left w:val="single" w:sz="4" w:space="0" w:color="000000"/>
              <w:bottom w:val="single" w:sz="4" w:space="0" w:color="000000"/>
              <w:right w:val="single" w:sz="4" w:space="0" w:color="000000"/>
            </w:tcBorders>
            <w:shd w:val="clear" w:color="auto" w:fill="FFFFFF"/>
            <w:vAlign w:val="center"/>
          </w:tcPr>
          <w:p>
            <w:pPr>
              <w:spacing w:after="0" w:line="240" w:lineRule="auto"/>
              <w:jc w:val="center"/>
              <w:rPr>
                <w:rFonts w:ascii="Calibri" w:eastAsia="Times New Roman" w:hAnsi="Calibri" w:cs="Calibri"/>
                <w:lang w:eastAsia="fr-FR"/>
              </w:rPr>
            </w:pPr>
            <w:r>
              <w:rPr>
                <w:rFonts w:eastAsia="Times New Roman" w:cs="Calibri"/>
                <w:lang w:eastAsia="fr-FR"/>
              </w:rPr>
              <w:t>Fonction</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Innover</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eastAsia="fr-FR"/>
              </w:rPr>
            </w:pPr>
            <w:r>
              <w:rPr>
                <w:rFonts w:eastAsia="Times New Roman" w:cs="Calibri"/>
                <w:lang w:val="fr-FR" w:eastAsia="fr-FR"/>
              </w:rPr>
              <w:t xml:space="preserve">Avoir une capacité d’observation objective et d’analyse du fonctionnement de son école en vue, le cas échéant, de dégager des pistes d’action alternatives. </w:t>
            </w:r>
          </w:p>
        </w:tc>
        <w:tc>
          <w:tcPr>
            <w:tcW w:w="68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Être capable d'accompagner le changement.</w:t>
            </w:r>
          </w:p>
        </w:tc>
        <w:tc>
          <w:tcPr>
            <w:tcW w:w="68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Établir des liens entre les diverses données, concevoir des alternatives et tirer des conclusions adéquates.</w:t>
            </w:r>
          </w:p>
        </w:tc>
        <w:tc>
          <w:tcPr>
            <w:tcW w:w="68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Souder des équipes</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Être capable de prendre des décisions et de s’y tenir après avoir instruit la question à trancher et/ou au terme d’un processus participatif.</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eastAsia="fr-BE"/>
              </w:rPr>
            </w:pPr>
            <w:r>
              <w:rPr>
                <w:rFonts w:eastAsia="Times New Roman" w:cs="Calibri"/>
                <w:lang w:val="fr-FR" w:eastAsia="fr-FR"/>
              </w:rPr>
              <w:t xml:space="preserve">Reconnaitre les qualités des collaborateurs, les stimuler à prendre des initiatives en leur donnant des responsabilités et en adaptant son propre style de leadership. </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Conseiller</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cs="Calibri"/>
                <w:lang w:val="fr-FR"/>
              </w:rPr>
              <w:t>Fournir des conseils à ses interlocuteurs et développer avec eux une relation de confiance basée sur ses expertises.</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C</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hAnsi="Calibri" w:cs="Calibri"/>
                <w:lang w:val="fr-FR"/>
              </w:rPr>
            </w:pPr>
            <w:r>
              <w:rPr>
                <w:rFonts w:eastAsia="Times New Roman" w:cs="Calibri"/>
                <w:lang w:val="fr-FR" w:eastAsia="fr-FR"/>
              </w:rPr>
              <w:t>Avoir le sens de l’écoute et de la communication ; être capable de manifester de l’empathie, de l’enthousiasme et de la reconnaissance.</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C  </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D</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Faire preuve de fiabilité</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Être cohérent dans ses principes, ses valeurs et son comportement, avoir le sens de l’intérêt général et respecter la dignité de la fonction.</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S’impliquer et démontrer de la volonté et de l’ambition afin de générer des résultats et assumer la responsabilité de la qualité des actions entreprises.</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ascii="Calibri" w:eastAsia="Times New Roman" w:hAnsi="Calibri" w:cs="Calibri"/>
                <w:lang w:eastAsia="fr-FR"/>
              </w:rPr>
              <w:t>D</w:t>
            </w:r>
          </w:p>
        </w:tc>
      </w:tr>
      <w:tr>
        <w:trPr>
          <w:trHeight w:val="340"/>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Décider</w:t>
            </w:r>
          </w:p>
        </w:tc>
        <w:tc>
          <w:tcPr>
            <w:tcW w:w="160" w:type="dxa"/>
            <w:shd w:val="clear" w:color="auto" w:fill="auto"/>
          </w:tcPr>
          <w:p/>
        </w:tc>
      </w:tr>
      <w:tr>
        <w:trPr>
          <w:gridAfter w:val="1"/>
          <w:wAfter w:w="160" w:type="dxa"/>
          <w:trHeight w:val="397"/>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spacing w:after="0" w:line="240" w:lineRule="auto"/>
              <w:rPr>
                <w:rFonts w:ascii="Calibri" w:hAnsi="Calibri" w:cs="Calibri"/>
                <w:color w:val="ED7D31"/>
              </w:rPr>
            </w:pPr>
            <w:r>
              <w:rPr>
                <w:rFonts w:ascii="Calibri" w:hAnsi="Calibri" w:cs="Calibri"/>
              </w:rPr>
              <w:t>Définir les objectifs de manière pro active, étayer des plans d'actions de manière minutieuse en y impliquant des bonnes ressources dans les délais disponibles</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eastAsia="Times New Roman" w:cs="Calibri"/>
                <w:lang w:eastAsia="fr-FR"/>
              </w:rPr>
            </w:pPr>
            <w:r>
              <w:rPr>
                <w:rFonts w:eastAsia="Times New Roman" w:cs="Calibri"/>
                <w:lang w:eastAsia="fr-FR"/>
              </w:rPr>
              <w:t>B</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eastAsia="Times New Roman" w:cs="Calibri"/>
                <w:lang w:eastAsia="fr-FR"/>
              </w:rPr>
            </w:pPr>
            <w:r>
              <w:rPr>
                <w:rFonts w:eastAsia="Times New Roman" w:cs="Calibri"/>
                <w:lang w:eastAsia="fr-FR"/>
              </w:rPr>
              <w:t>C</w:t>
            </w:r>
          </w:p>
        </w:tc>
      </w:tr>
      <w:tr>
        <w:trPr>
          <w:gridAfter w:val="1"/>
          <w:wAfter w:w="160" w:type="dxa"/>
          <w:trHeight w:val="397"/>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Prendre des décisions à partir d’informations (in)complètes et initier des actions ciblées afin de mettre en œuvre les décisions.</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 xml:space="preserve">B </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eastAsia="fr-FR"/>
              </w:rPr>
            </w:pPr>
            <w:r>
              <w:rPr>
                <w:rFonts w:eastAsia="Times New Roman" w:cs="Calibri"/>
                <w:lang w:eastAsia="fr-FR"/>
              </w:rPr>
              <w:t>C</w:t>
            </w:r>
          </w:p>
        </w:tc>
      </w:tr>
      <w:tr>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b/>
                <w:lang w:val="fr-FR" w:eastAsia="fr-FR"/>
              </w:rPr>
            </w:pPr>
            <w:r>
              <w:rPr>
                <w:rFonts w:eastAsia="Times New Roman" w:cs="Calibri"/>
                <w:b/>
                <w:lang w:val="fr-FR" w:eastAsia="fr-FR"/>
              </w:rPr>
              <w:t>Gérer le stress</w:t>
            </w:r>
          </w:p>
        </w:tc>
        <w:tc>
          <w:tcPr>
            <w:tcW w:w="160" w:type="dxa"/>
            <w:shd w:val="clear" w:color="auto" w:fill="auto"/>
          </w:tcPr>
          <w:p/>
        </w:tc>
      </w:tr>
      <w:tr>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Réagir au stress en se focalisant sur le résultat en gérant ses émotions et en adoptant une attitude constructive face à la critique.</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val="fr-FR" w:eastAsia="fr-FR"/>
              </w:rPr>
            </w:pPr>
            <w:r>
              <w:rPr>
                <w:rFonts w:ascii="Calibri" w:eastAsia="Times New Roman" w:hAnsi="Calibri" w:cs="Calibri"/>
                <w:lang w:val="fr-FR" w:eastAsia="fr-FR"/>
              </w:rPr>
              <w:t>C</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jc w:val="center"/>
              <w:rPr>
                <w:rFonts w:ascii="Calibri" w:eastAsia="Times New Roman" w:hAnsi="Calibri" w:cs="Calibri"/>
                <w:lang w:val="fr-FR" w:eastAsia="fr-FR"/>
              </w:rPr>
            </w:pPr>
            <w:r>
              <w:rPr>
                <w:rFonts w:eastAsia="Times New Roman" w:cs="Calibri"/>
                <w:lang w:val="fr-FR" w:eastAsia="fr-FR"/>
              </w:rPr>
              <w:t>C</w:t>
            </w:r>
          </w:p>
        </w:tc>
      </w:tr>
    </w:tbl>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p>
      <w:pPr>
        <w:spacing w:after="160" w:line="259" w:lineRule="auto"/>
        <w:rPr>
          <w:rFonts w:ascii="Verdana" w:hAnsi="Verdana"/>
        </w:rPr>
      </w:pPr>
    </w:p>
    <w:tbl>
      <w:tblPr>
        <w:tblpPr w:leftFromText="141" w:rightFromText="141" w:vertAnchor="text" w:horzAnchor="margin" w:tblpY="-836"/>
        <w:tblW w:w="8673" w:type="dxa"/>
        <w:tblCellMar>
          <w:left w:w="70" w:type="dxa"/>
          <w:right w:w="70" w:type="dxa"/>
        </w:tblCellMar>
        <w:tblLook w:val="0000" w:firstRow="0" w:lastRow="0" w:firstColumn="0" w:lastColumn="0" w:noHBand="0" w:noVBand="0"/>
      </w:tblPr>
      <w:tblGrid>
        <w:gridCol w:w="2891"/>
        <w:gridCol w:w="2891"/>
        <w:gridCol w:w="2891"/>
      </w:tblGrid>
      <w:tr>
        <w:trPr>
          <w:trHeight w:val="499"/>
        </w:trPr>
        <w:tc>
          <w:tcPr>
            <w:tcW w:w="2891" w:type="dxa"/>
            <w:shd w:val="clear" w:color="auto" w:fill="auto"/>
            <w:vAlign w:val="center"/>
          </w:tcPr>
          <w:p>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auto"/>
            <w:vAlign w:val="center"/>
          </w:tcPr>
          <w:p>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001D77"/>
            <w:vAlign w:val="center"/>
          </w:tcPr>
          <w:p>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Profil de compétence</w:t>
            </w:r>
          </w:p>
        </w:tc>
      </w:tr>
    </w:tbl>
    <w:p>
      <w:pPr>
        <w:shd w:val="clear" w:color="auto" w:fill="001D77"/>
        <w:spacing w:after="160" w:line="259" w:lineRule="auto"/>
        <w:jc w:val="center"/>
        <w:rPr>
          <w:rFonts w:cstheme="minorHAnsi"/>
          <w:sz w:val="28"/>
        </w:rPr>
      </w:pPr>
      <w:r>
        <w:rPr>
          <w:rFonts w:cstheme="minorHAnsi"/>
          <w:i/>
          <w:sz w:val="28"/>
        </w:rPr>
        <w:t>Compétences investiguées lors du Jury</w:t>
      </w:r>
    </w:p>
    <w:p>
      <w:pPr>
        <w:spacing w:after="160" w:line="259" w:lineRule="auto"/>
        <w:rPr>
          <w:rFonts w:cstheme="minorHAnsi"/>
        </w:rPr>
      </w:pPr>
      <w:r>
        <w:rPr>
          <w:rFonts w:cstheme="minorHAnsi"/>
        </w:rPr>
        <w:t xml:space="preserve">Voici un récapitulatif des compétences qui seront investiguées à l’entretien: </w:t>
      </w:r>
    </w:p>
    <w:p>
      <w:pPr>
        <w:jc w:val="both"/>
        <w:rPr>
          <w:rFonts w:ascii="Verdana" w:hAnsi="Verdana"/>
        </w:rPr>
      </w:pPr>
      <w:r>
        <w:rPr>
          <w:rFonts w:cs="Arial"/>
          <w:b/>
          <w:szCs w:val="20"/>
        </w:rPr>
        <w:t>Il faut minimum 60% des points pour figurer dans le classement des lauréats potentiels (minimum de 60/100) soit : 81/135.</w:t>
      </w:r>
    </w:p>
    <w:tbl>
      <w:tblPr>
        <w:tblpPr w:leftFromText="141" w:rightFromText="141" w:vertAnchor="page" w:horzAnchor="margin" w:tblpY="2914"/>
        <w:tblW w:w="9067" w:type="dxa"/>
        <w:tblCellMar>
          <w:left w:w="70" w:type="dxa"/>
          <w:right w:w="70" w:type="dxa"/>
        </w:tblCellMar>
        <w:tblLook w:val="0000" w:firstRow="0" w:lastRow="0" w:firstColumn="0" w:lastColumn="0" w:noHBand="0" w:noVBand="0"/>
      </w:tblPr>
      <w:tblGrid>
        <w:gridCol w:w="7650"/>
        <w:gridCol w:w="1417"/>
      </w:tblGrid>
      <w:tr>
        <w:trPr>
          <w:trHeight w:val="841"/>
        </w:trPr>
        <w:tc>
          <w:tcPr>
            <w:tcW w:w="76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pPr>
              <w:tabs>
                <w:tab w:val="left" w:pos="1985"/>
              </w:tabs>
              <w:spacing w:after="0" w:line="240" w:lineRule="auto"/>
              <w:jc w:val="center"/>
              <w:rPr>
                <w:rFonts w:ascii="Calibri" w:eastAsia="Times New Roman" w:hAnsi="Calibri" w:cs="Calibri"/>
                <w:b/>
                <w:lang w:val="fr-FR" w:eastAsia="fr-FR"/>
              </w:rPr>
            </w:pPr>
            <w:r>
              <w:rPr>
                <w:rFonts w:eastAsia="Times New Roman" w:cs="Calibri"/>
                <w:b/>
                <w:sz w:val="24"/>
                <w:lang w:val="fr-FR" w:eastAsia="fr-FR"/>
              </w:rPr>
              <w:t>Profil de compétence</w:t>
            </w:r>
          </w:p>
        </w:tc>
        <w:tc>
          <w:tcPr>
            <w:tcW w:w="1417"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 xml:space="preserve">Pondération </w:t>
            </w:r>
          </w:p>
        </w:tc>
      </w:tr>
      <w:tr>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rPr>
                <w:rFonts w:ascii="Calibri" w:eastAsia="Times New Roman" w:hAnsi="Calibri" w:cs="Calibri"/>
                <w:b/>
                <w:lang w:eastAsia="fr-FR"/>
              </w:rPr>
            </w:pPr>
            <w:r>
              <w:rPr>
                <w:rFonts w:eastAsia="Times New Roman" w:cs="Calibri"/>
                <w:b/>
                <w:lang w:val="fr-FR" w:eastAsia="fr-FR"/>
              </w:rPr>
              <w:t xml:space="preserve">Motivation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20</w:t>
            </w:r>
          </w:p>
        </w:tc>
      </w:tr>
      <w:tr>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rPr>
                <w:rFonts w:ascii="Calibri" w:eastAsia="Times New Roman" w:hAnsi="Calibri" w:cs="Calibri"/>
                <w:b/>
                <w:lang w:val="fr-FR" w:eastAsia="fr-FR"/>
              </w:rPr>
            </w:pPr>
            <w:r>
              <w:rPr>
                <w:rFonts w:eastAsia="Times New Roman" w:cs="Calibri"/>
                <w:b/>
                <w:lang w:val="fr-FR" w:eastAsia="fr-FR"/>
              </w:rPr>
              <w:t xml:space="preserve">Compétences techniques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65</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color w:val="000000"/>
                <w:lang w:eastAsia="fr-FR"/>
              </w:rPr>
              <w:t>Avoir des compétences en gestion administrative, financière et matérielle de l’établissement.</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jc w:val="both"/>
              <w:rPr>
                <w:rFonts w:ascii="Calibri" w:eastAsia="Times New Roman" w:hAnsi="Calibri" w:cs="Calibri"/>
                <w:lang w:val="fr-FR" w:eastAsia="fr-FR"/>
              </w:rPr>
            </w:pPr>
            <w:r>
              <w:rPr>
                <w:rFonts w:eastAsia="Times New Roman" w:cs="Times New Roman"/>
                <w:lang w:eastAsia="fr-FR"/>
              </w:rPr>
              <w:t>Disposer de compétences pédagogiques et montrer un intérêt pour la recherche en éducation adaptée au niveau d’enseignement concerné.</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eastAsia="fr-FR"/>
              </w:rPr>
            </w:pPr>
            <w:r>
              <w:rPr>
                <w:rFonts w:eastAsia="Times New Roman" w:cs="Times New Roman"/>
                <w:lang w:eastAsia="fr-FR"/>
              </w:rPr>
              <w:t>Avoir la capacité de lire et comprendre un texte juridique.</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eastAsia="fr-BE"/>
              </w:rPr>
            </w:pPr>
            <w:r>
              <w:rPr>
                <w:rFonts w:eastAsia="Times New Roman" w:cs="Calibri"/>
                <w:color w:val="000000"/>
                <w:lang w:eastAsia="fr-FR"/>
              </w:rPr>
              <w:t>Être capable de gérer des conflits.</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color w:val="000000"/>
                <w:lang w:eastAsia="fr-FR"/>
              </w:rPr>
            </w:pPr>
            <w:r>
              <w:rPr>
                <w:rFonts w:eastAsia="Times New Roman" w:cs="Calibri"/>
                <w:lang w:eastAsia="fr-FR"/>
              </w:rPr>
              <w:t>Maitriser les techniques de la communication orale.</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color w:val="000000"/>
                <w:lang w:eastAsia="fr-FR"/>
              </w:rPr>
            </w:pPr>
            <w:r>
              <w:rPr>
                <w:rFonts w:eastAsia="Times New Roman" w:cs="Calibri"/>
                <w:lang w:eastAsia="fr-FR"/>
              </w:rPr>
              <w:t xml:space="preserve">Maitriser les techniques de la communication écrite.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5</w:t>
            </w:r>
          </w:p>
        </w:tc>
      </w:tr>
      <w:tr>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rPr>
                <w:rFonts w:ascii="Calibri" w:eastAsia="Times New Roman" w:hAnsi="Calibri" w:cs="Calibri"/>
                <w:b/>
                <w:lang w:val="fr-FR" w:eastAsia="fr-FR"/>
              </w:rPr>
            </w:pPr>
            <w:r>
              <w:rPr>
                <w:rFonts w:eastAsia="Times New Roman" w:cs="Calibri"/>
                <w:b/>
                <w:lang w:val="fr-FR" w:eastAsia="fr-FR"/>
              </w:rPr>
              <w:t xml:space="preserve">Compétences comportementales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50</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Innover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trPr>
          <w:trHeight w:val="397"/>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Souder des équipes</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Conseiller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val="fr-FR" w:eastAsia="fr-FR"/>
              </w:rPr>
            </w:pPr>
            <w:r>
              <w:rPr>
                <w:rFonts w:eastAsia="Times New Roman" w:cs="Calibri"/>
                <w:i/>
                <w:lang w:val="fr-FR" w:eastAsia="fr-FR"/>
              </w:rPr>
              <w:t>15</w:t>
            </w:r>
          </w:p>
        </w:tc>
      </w:tr>
      <w:tr>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Faire preuve de fiabilité</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pPr>
              <w:tabs>
                <w:tab w:val="left" w:pos="1985"/>
              </w:tabs>
              <w:spacing w:after="0" w:line="240" w:lineRule="auto"/>
              <w:jc w:val="center"/>
              <w:rPr>
                <w:rFonts w:ascii="Calibri" w:eastAsia="Times New Roman" w:hAnsi="Calibri" w:cs="Calibri"/>
                <w:i/>
                <w:lang w:val="fr-FR" w:eastAsia="fr-FR"/>
              </w:rPr>
            </w:pPr>
            <w:r>
              <w:rPr>
                <w:rFonts w:eastAsia="Times New Roman" w:cs="Calibri"/>
                <w:i/>
                <w:lang w:val="fr-FR" w:eastAsia="fr-FR"/>
              </w:rPr>
              <w:t>10</w:t>
            </w:r>
          </w:p>
        </w:tc>
      </w:tr>
      <w:tr>
        <w:trPr>
          <w:trHeight w:val="510"/>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right"/>
              <w:rPr>
                <w:rFonts w:ascii="Calibri" w:eastAsia="Times New Roman" w:hAnsi="Calibri" w:cs="Calibri"/>
                <w:b/>
                <w:lang w:val="fr-FR" w:eastAsia="fr-FR"/>
              </w:rPr>
            </w:pPr>
            <w:r>
              <w:rPr>
                <w:rFonts w:eastAsia="Times New Roman" w:cs="Calibri"/>
                <w:b/>
                <w:lang w:val="fr-FR" w:eastAsia="fr-FR"/>
              </w:rPr>
              <w:t xml:space="preserve">Total </w:t>
            </w:r>
          </w:p>
        </w:tc>
        <w:tc>
          <w:tcPr>
            <w:tcW w:w="1417" w:type="dxa"/>
            <w:tcBorders>
              <w:top w:val="single" w:sz="4" w:space="0" w:color="000000"/>
              <w:left w:val="single" w:sz="4" w:space="0" w:color="000000"/>
              <w:bottom w:val="single" w:sz="4" w:space="0" w:color="000000"/>
              <w:right w:val="single" w:sz="4" w:space="0" w:color="000000"/>
            </w:tcBorders>
            <w:shd w:val="clear" w:color="auto" w:fill="001D77"/>
            <w:vAlign w:val="center"/>
          </w:tcPr>
          <w:p>
            <w:pPr>
              <w:tabs>
                <w:tab w:val="left" w:pos="1985"/>
              </w:tabs>
              <w:spacing w:after="0" w:line="240" w:lineRule="auto"/>
              <w:jc w:val="center"/>
              <w:rPr>
                <w:rFonts w:ascii="Calibri" w:eastAsia="Times New Roman" w:hAnsi="Calibri" w:cs="Calibri"/>
                <w:b/>
                <w:lang w:val="fr-FR" w:eastAsia="fr-FR"/>
              </w:rPr>
            </w:pPr>
            <w:r>
              <w:rPr>
                <w:rFonts w:eastAsia="Times New Roman" w:cs="Calibri"/>
                <w:b/>
                <w:lang w:val="fr-FR" w:eastAsia="fr-FR"/>
              </w:rPr>
              <w:t>135 points</w:t>
            </w:r>
          </w:p>
        </w:tc>
      </w:tr>
    </w:tbl>
    <w:p>
      <w:pPr>
        <w:tabs>
          <w:tab w:val="left" w:pos="3705"/>
        </w:tabs>
        <w:jc w:val="both"/>
        <w:rPr>
          <w:rFonts w:cs="Times New Roman"/>
        </w:rPr>
      </w:pPr>
      <w:r>
        <w:t>Le classement des lauréats sera établi sur base des résultats obtenus lors du jury. A égalité de points, la priorité sera donnée à la personne ayant obtenu le plus grand nombre de points aux parties « Souder les équipes » et «</w:t>
      </w:r>
      <w:r>
        <w:rPr>
          <w:rFonts w:eastAsia="Times New Roman"/>
          <w:lang w:eastAsia="fr-FR"/>
        </w:rPr>
        <w:t>Conseiller».</w:t>
      </w:r>
      <w:r>
        <w:t>  Si pour ces parties, des personnes ont des points égaux, leur classement sera établi de manière aléatoire.</w:t>
      </w:r>
    </w:p>
    <w:p>
      <w:pPr>
        <w:tabs>
          <w:tab w:val="left" w:pos="3705"/>
        </w:tabs>
        <w:jc w:val="both"/>
      </w:pPr>
    </w:p>
    <w:sectPr>
      <w:headerReference w:type="default" r:id="rId21"/>
      <w:footerReference w:type="default" r:id="rId22"/>
      <w:pgSz w:w="11906" w:h="16838"/>
      <w:pgMar w:top="1417" w:right="1417" w:bottom="1417" w:left="1417" w:header="708" w:footer="16"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r>
      <w:rPr>
        <w:noProof/>
        <w:lang w:eastAsia="fr-BE"/>
      </w:rPr>
      <w:drawing>
        <wp:anchor distT="0" distB="0" distL="0" distR="0" simplePos="0" relativeHeight="8" behindDoc="1" locked="0" layoutInCell="1" allowOverlap="1">
          <wp:simplePos x="0" y="0"/>
          <wp:positionH relativeFrom="margin">
            <wp:align>center</wp:align>
          </wp:positionH>
          <wp:positionV relativeFrom="paragraph">
            <wp:posOffset>-318506</wp:posOffset>
          </wp:positionV>
          <wp:extent cx="593725" cy="672465"/>
          <wp:effectExtent l="0" t="0" r="0" b="0"/>
          <wp:wrapNone/>
          <wp:docPr id="3"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2"/>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color w:val="7F7F7F"/>
        <w:sz w:val="18"/>
        <w:szCs w:val="18"/>
      </w:rPr>
      <w:fldChar w:fldCharType="begin"/>
    </w:r>
    <w:r>
      <w:rPr>
        <w:rFonts w:cs="Calibri"/>
        <w:sz w:val="18"/>
        <w:szCs w:val="18"/>
      </w:rPr>
      <w:instrText>PAGE</w:instrText>
    </w:r>
    <w:r>
      <w:rPr>
        <w:rFonts w:cs="Calibri"/>
        <w:sz w:val="18"/>
        <w:szCs w:val="18"/>
      </w:rPr>
      <w:fldChar w:fldCharType="separate"/>
    </w:r>
    <w:r>
      <w:rPr>
        <w:rFonts w:cs="Calibri"/>
        <w:noProof/>
        <w:sz w:val="18"/>
        <w:szCs w:val="18"/>
      </w:rPr>
      <w:t>2</w:t>
    </w:r>
    <w:r>
      <w:rPr>
        <w:rFonts w:cs="Calibri"/>
        <w:sz w:val="18"/>
        <w:szCs w:val="18"/>
      </w:rPr>
      <w:fldChar w:fldCharType="end"/>
    </w:r>
    <w:r>
      <w:rPr>
        <w:rFonts w:cs="Calibri"/>
        <w:color w:val="7F7F7F"/>
        <w:sz w:val="18"/>
        <w:szCs w:val="18"/>
      </w:rPr>
      <w:t xml:space="preserve"> / </w:t>
    </w:r>
    <w:r>
      <w:rPr>
        <w:rFonts w:cs="Calibri"/>
        <w:color w:val="7F7F7F"/>
        <w:sz w:val="18"/>
        <w:szCs w:val="18"/>
      </w:rPr>
      <w:fldChar w:fldCharType="begin"/>
    </w:r>
    <w:r>
      <w:rPr>
        <w:rFonts w:cs="Calibri"/>
        <w:sz w:val="18"/>
        <w:szCs w:val="18"/>
      </w:rPr>
      <w:instrText>NUMPAGES</w:instrText>
    </w:r>
    <w:r>
      <w:rPr>
        <w:rFonts w:cs="Calibri"/>
        <w:sz w:val="18"/>
        <w:szCs w:val="18"/>
      </w:rPr>
      <w:fldChar w:fldCharType="separate"/>
    </w:r>
    <w:r>
      <w:rPr>
        <w:rFonts w:cs="Calibri"/>
        <w:noProof/>
        <w:sz w:val="18"/>
        <w:szCs w:val="18"/>
      </w:rPr>
      <w:t>15</w:t>
    </w:r>
    <w:r>
      <w:rPr>
        <w:rFonts w:cs="Calibri"/>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506033"/>
      <w:docPartObj>
        <w:docPartGallery w:val="Page Numbers (Bottom of Page)"/>
        <w:docPartUnique/>
      </w:docPartObj>
    </w:sdtPr>
    <w:sdtEndPr>
      <w:rPr>
        <w:sz w:val="18"/>
        <w:szCs w:val="18"/>
      </w:rPr>
    </w:sdtEndPr>
    <w:sdtContent>
      <w:p>
        <w:pPr>
          <w:pStyle w:val="Pieddepage"/>
          <w:jc w:val="right"/>
          <w:rPr>
            <w:sz w:val="18"/>
            <w:szCs w:val="18"/>
          </w:rPr>
        </w:pPr>
        <w:r>
          <w:rPr>
            <w:noProof/>
            <w:lang w:eastAsia="fr-BE"/>
          </w:rPr>
          <w:drawing>
            <wp:anchor distT="0" distB="0" distL="0" distR="0" simplePos="0" relativeHeight="251659264" behindDoc="1" locked="0" layoutInCell="1" allowOverlap="1">
              <wp:simplePos x="0" y="0"/>
              <wp:positionH relativeFrom="margin">
                <wp:align>center</wp:align>
              </wp:positionH>
              <wp:positionV relativeFrom="paragraph">
                <wp:posOffset>-461811</wp:posOffset>
              </wp:positionV>
              <wp:extent cx="593725" cy="672465"/>
              <wp:effectExtent l="0" t="0" r="0" b="0"/>
              <wp:wrapNone/>
              <wp:docPr id="7"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2"/>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r>
          <w:rPr>
            <w:sz w:val="18"/>
            <w:szCs w:val="18"/>
          </w:rPr>
          <w:fldChar w:fldCharType="begin"/>
        </w:r>
        <w:r>
          <w:rPr>
            <w:sz w:val="18"/>
            <w:szCs w:val="18"/>
          </w:rPr>
          <w:instrText>PAGE   \* MERGEFORMAT</w:instrText>
        </w:r>
        <w:r>
          <w:rPr>
            <w:sz w:val="18"/>
            <w:szCs w:val="18"/>
          </w:rPr>
          <w:fldChar w:fldCharType="separate"/>
        </w:r>
        <w:r>
          <w:rPr>
            <w:noProof/>
            <w:sz w:val="18"/>
            <w:szCs w:val="18"/>
            <w:lang w:val="fr-FR"/>
          </w:rPr>
          <w:t>1</w:t>
        </w:r>
        <w:r>
          <w:rPr>
            <w:sz w:val="18"/>
            <w:szCs w:val="18"/>
          </w:rPr>
          <w:fldChar w:fldCharType="end"/>
        </w:r>
        <w:r>
          <w:rPr>
            <w:sz w:val="18"/>
            <w:szCs w:val="18"/>
          </w:rPr>
          <w:t>/16</w:t>
        </w:r>
      </w:p>
    </w:sdtContent>
  </w:sdt>
  <w:p>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681083586"/>
      <w:docPartObj>
        <w:docPartGallery w:val="Page Numbers (Bottom of Page)"/>
        <w:docPartUnique/>
      </w:docPartObj>
    </w:sdtPr>
    <w:sdtContent>
      <w:p>
        <w:pPr>
          <w:pStyle w:val="Pieddepage"/>
          <w:jc w:val="right"/>
          <w:rPr>
            <w:sz w:val="18"/>
            <w:szCs w:val="18"/>
          </w:rPr>
        </w:pPr>
        <w:r>
          <w:rPr>
            <w:noProof/>
            <w:lang w:eastAsia="fr-BE"/>
          </w:rPr>
          <w:drawing>
            <wp:anchor distT="0" distB="0" distL="0" distR="0" simplePos="0" relativeHeight="251661312" behindDoc="1" locked="0" layoutInCell="1" allowOverlap="1">
              <wp:simplePos x="0" y="0"/>
              <wp:positionH relativeFrom="margin">
                <wp:align>center</wp:align>
              </wp:positionH>
              <wp:positionV relativeFrom="paragraph">
                <wp:posOffset>-589032</wp:posOffset>
              </wp:positionV>
              <wp:extent cx="593725" cy="672465"/>
              <wp:effectExtent l="0" t="0" r="0" b="0"/>
              <wp:wrapNone/>
              <wp:docPr id="8"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2"/>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r>
          <w:rPr>
            <w:sz w:val="18"/>
            <w:szCs w:val="18"/>
          </w:rPr>
          <w:fldChar w:fldCharType="begin"/>
        </w:r>
        <w:r>
          <w:rPr>
            <w:sz w:val="18"/>
            <w:szCs w:val="18"/>
          </w:rPr>
          <w:instrText>PAGE   \* MERGEFORMAT</w:instrText>
        </w:r>
        <w:r>
          <w:rPr>
            <w:sz w:val="18"/>
            <w:szCs w:val="18"/>
          </w:rPr>
          <w:fldChar w:fldCharType="separate"/>
        </w:r>
        <w:r>
          <w:rPr>
            <w:noProof/>
            <w:sz w:val="18"/>
            <w:szCs w:val="18"/>
            <w:lang w:val="fr-FR"/>
          </w:rPr>
          <w:t>13</w:t>
        </w:r>
        <w:r>
          <w:rPr>
            <w:sz w:val="18"/>
            <w:szCs w:val="18"/>
          </w:rPr>
          <w:fldChar w:fldCharType="end"/>
        </w:r>
        <w:r>
          <w:rPr>
            <w:sz w:val="18"/>
            <w:szCs w:val="18"/>
          </w:rPr>
          <w:t>/16</w:t>
        </w:r>
      </w:p>
    </w:sdtContent>
  </w:sdt>
  <w:p>
    <w:pPr>
      <w:pStyle w:val="Pieddepag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pPr>
    <w:r>
      <w:rPr>
        <w:noProof/>
        <w:lang w:eastAsia="fr-BE"/>
      </w:rPr>
      <w:drawing>
        <wp:anchor distT="0" distB="0" distL="0" distR="0" simplePos="0" relativeHeight="3" behindDoc="1" locked="0" layoutInCell="1" allowOverlap="1">
          <wp:simplePos x="0" y="0"/>
          <wp:positionH relativeFrom="margin">
            <wp:align>center</wp:align>
          </wp:positionH>
          <wp:positionV relativeFrom="paragraph">
            <wp:posOffset>-332740</wp:posOffset>
          </wp:positionV>
          <wp:extent cx="593725" cy="672465"/>
          <wp:effectExtent l="0" t="0" r="0" b="0"/>
          <wp:wrapNone/>
          <wp:docPr id="5"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22"/>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r>
      <w:rPr>
        <w:sz w:val="18"/>
      </w:rPr>
      <w:tab/>
    </w:r>
    <w:r>
      <w:rPr>
        <w:sz w:val="18"/>
      </w:rPr>
      <w:tab/>
    </w:r>
    <w:r>
      <w:rPr>
        <w:sz w:val="18"/>
        <w:lang w:val="fr-FR"/>
      </w:rPr>
      <w:t xml:space="preserve">Page </w:t>
    </w:r>
    <w:r>
      <w:rPr>
        <w:b/>
        <w:sz w:val="18"/>
      </w:rPr>
      <w:fldChar w:fldCharType="begin"/>
    </w:r>
    <w:r>
      <w:rPr>
        <w:b/>
        <w:sz w:val="18"/>
      </w:rPr>
      <w:instrText>PAGE \* ARABIC</w:instrText>
    </w:r>
    <w:r>
      <w:rPr>
        <w:b/>
        <w:sz w:val="18"/>
      </w:rPr>
      <w:fldChar w:fldCharType="separate"/>
    </w:r>
    <w:r>
      <w:rPr>
        <w:b/>
        <w:noProof/>
        <w:sz w:val="18"/>
      </w:rPr>
      <w:t>15</w:t>
    </w:r>
    <w:r>
      <w:rPr>
        <w:b/>
        <w:sz w:val="18"/>
      </w:rPr>
      <w:fldChar w:fldCharType="end"/>
    </w:r>
    <w:r>
      <w:rPr>
        <w:sz w:val="18"/>
        <w:lang w:val="fr-FR"/>
      </w:rPr>
      <w:t xml:space="preserve"> sur </w:t>
    </w:r>
    <w:r>
      <w:rPr>
        <w:b/>
        <w:sz w:val="18"/>
      </w:rPr>
      <w:fldChar w:fldCharType="begin"/>
    </w:r>
    <w:r>
      <w:rPr>
        <w:b/>
        <w:sz w:val="18"/>
      </w:rPr>
      <w:instrText>NUMPAGES \* ARABIC</w:instrText>
    </w:r>
    <w:r>
      <w:rPr>
        <w:b/>
        <w:sz w:val="18"/>
      </w:rPr>
      <w:fldChar w:fldCharType="separate"/>
    </w:r>
    <w:r>
      <w:rPr>
        <w:b/>
        <w:noProof/>
        <w:sz w:val="18"/>
      </w:rPr>
      <w:t>15</w:t>
    </w:r>
    <w:r>
      <w:rPr>
        <w:b/>
        <w:sz w:val="18"/>
      </w:rPr>
      <w:fldChar w:fldCharType="end"/>
    </w:r>
  </w:p>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jc w:val="both"/>
      </w:pPr>
      <w:r>
        <w:rPr>
          <w:rStyle w:val="Caractresdenotedebasdepage"/>
        </w:rPr>
        <w:footnoteRef/>
      </w:r>
      <w:r>
        <w:t xml:space="preserve"> </w:t>
      </w:r>
      <w:r>
        <w:rPr>
          <w:rFonts w:cs="Calibri"/>
        </w:rPr>
        <w:t>Dans l’enseignement secondaire artistique à horaire réduit, les membres du personnel enseignant des disciplines pour lesquelles n’existe pas de formation délivrant un titre de niveau supérieur du 1</w:t>
      </w:r>
      <w:r>
        <w:rPr>
          <w:rFonts w:cs="Calibri"/>
          <w:vertAlign w:val="superscript"/>
        </w:rPr>
        <w:t>er</w:t>
      </w:r>
      <w:r>
        <w:rPr>
          <w:rFonts w:cs="Calibri"/>
        </w:rPr>
        <w:t xml:space="preserve"> degré, peuvent être admis au stage pour autant qu’ils soient porteurs d’un des titres visés aux articles 105 à 108 point a) ou b) du décret du 2 juin 1998 organisant l'enseignement secondaire artistique à horaire réduit subventionné par la Communauté française</w:t>
      </w:r>
      <w:r>
        <w:rPr>
          <w:rFonts w:ascii="Arial" w:hAnsi="Arial" w:cs="Arial"/>
          <w:sz w:val="24"/>
          <w:szCs w:val="24"/>
        </w:rPr>
        <w:t> </w:t>
      </w:r>
    </w:p>
  </w:footnote>
  <w:footnote w:id="2">
    <w:p>
      <w:pPr>
        <w:pStyle w:val="Notedebasdepage"/>
        <w:jc w:val="both"/>
      </w:pPr>
      <w:r>
        <w:rPr>
          <w:rStyle w:val="Caractresdenotedebasdepage"/>
        </w:rPr>
        <w:footnoteRef/>
      </w:r>
      <w:r>
        <w:t xml:space="preserve"> Constituant un titre de capacité tel que défini à l’article 100 du décret du 2 février 2007 fixant le statut des directeurs et directrices dans l’enseignement et directrices dans l’enseignement.</w:t>
      </w:r>
    </w:p>
  </w:footnote>
  <w:footnote w:id="3">
    <w:p>
      <w:pPr>
        <w:pStyle w:val="Notedebasdepage"/>
        <w:jc w:val="both"/>
      </w:pPr>
      <w:r>
        <w:rPr>
          <w:rStyle w:val="Caractresdenotedebasdepage"/>
        </w:rPr>
        <w:footnoteRef/>
      </w:r>
      <w:r>
        <w:t xml:space="preserve"> Commission visée à l’article 29 du décret du 2 février 2007 précité</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lang w:val="nl-NL"/>
      </w:rPr>
    </w:pPr>
    <w:r>
      <w:rPr>
        <w:noProof/>
        <w:lang w:eastAsia="fr-BE"/>
      </w:rPr>
      <w:drawing>
        <wp:anchor distT="0" distB="0" distL="0" distR="0" simplePos="0" relativeHeight="9" behindDoc="1" locked="0" layoutInCell="1" allowOverlap="1">
          <wp:simplePos x="0" y="0"/>
          <wp:positionH relativeFrom="margin">
            <wp:align>center</wp:align>
          </wp:positionH>
          <wp:positionV relativeFrom="paragraph">
            <wp:posOffset>-95250</wp:posOffset>
          </wp:positionV>
          <wp:extent cx="4919345" cy="1211580"/>
          <wp:effectExtent l="0" t="0" r="0" b="0"/>
          <wp:wrapNone/>
          <wp:docPr id="2"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4"/>
                  <pic:cNvPicPr>
                    <a:picLocks noChangeAspect="1" noChangeArrowheads="1"/>
                  </pic:cNvPicPr>
                </pic:nvPicPr>
                <pic:blipFill>
                  <a:blip r:embed="rId1"/>
                  <a:stretch>
                    <a:fillRect/>
                  </a:stretch>
                </pic:blipFill>
                <pic:spPr bwMode="auto">
                  <a:xfrm>
                    <a:off x="0" y="0"/>
                    <a:ext cx="4919345" cy="121158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lang w:val="nl-N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8051A"/>
    <w:multiLevelType w:val="hybridMultilevel"/>
    <w:tmpl w:val="DB9C70B4"/>
    <w:lvl w:ilvl="0" w:tplc="080C0003">
      <w:start w:val="1"/>
      <w:numFmt w:val="bullet"/>
      <w:lvlText w:val="o"/>
      <w:lvlJc w:val="left"/>
      <w:pPr>
        <w:ind w:left="720" w:hanging="360"/>
      </w:pPr>
      <w:rPr>
        <w:rFonts w:ascii="Courier New" w:hAnsi="Courier New" w:cs="Courier New"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 w15:restartNumberingAfterBreak="0">
    <w:nsid w:val="05373112"/>
    <w:multiLevelType w:val="hybridMultilevel"/>
    <w:tmpl w:val="90021232"/>
    <w:lvl w:ilvl="0" w:tplc="080C0003">
      <w:start w:val="1"/>
      <w:numFmt w:val="bullet"/>
      <w:lvlText w:val="o"/>
      <w:lvlJc w:val="left"/>
      <w:pPr>
        <w:ind w:left="1068" w:hanging="360"/>
      </w:pPr>
      <w:rPr>
        <w:rFonts w:ascii="Courier New" w:hAnsi="Courier New" w:cs="Courier New" w:hint="default"/>
      </w:rPr>
    </w:lvl>
    <w:lvl w:ilvl="1" w:tplc="080C0003" w:tentative="1">
      <w:start w:val="1"/>
      <w:numFmt w:val="bullet"/>
      <w:lvlText w:val="o"/>
      <w:lvlJc w:val="left"/>
      <w:pPr>
        <w:ind w:left="1788" w:hanging="360"/>
      </w:pPr>
      <w:rPr>
        <w:rFonts w:ascii="Courier New" w:hAnsi="Courier New" w:cs="Courier New" w:hint="default"/>
      </w:rPr>
    </w:lvl>
    <w:lvl w:ilvl="2" w:tplc="080C0005" w:tentative="1">
      <w:start w:val="1"/>
      <w:numFmt w:val="bullet"/>
      <w:lvlText w:val=""/>
      <w:lvlJc w:val="left"/>
      <w:pPr>
        <w:ind w:left="2508" w:hanging="360"/>
      </w:pPr>
      <w:rPr>
        <w:rFonts w:ascii="Wingdings" w:hAnsi="Wingdings" w:hint="default"/>
      </w:rPr>
    </w:lvl>
    <w:lvl w:ilvl="3" w:tplc="080C0001" w:tentative="1">
      <w:start w:val="1"/>
      <w:numFmt w:val="bullet"/>
      <w:lvlText w:val=""/>
      <w:lvlJc w:val="left"/>
      <w:pPr>
        <w:ind w:left="3228" w:hanging="360"/>
      </w:pPr>
      <w:rPr>
        <w:rFonts w:ascii="Symbol" w:hAnsi="Symbol" w:hint="default"/>
      </w:rPr>
    </w:lvl>
    <w:lvl w:ilvl="4" w:tplc="080C0003" w:tentative="1">
      <w:start w:val="1"/>
      <w:numFmt w:val="bullet"/>
      <w:lvlText w:val="o"/>
      <w:lvlJc w:val="left"/>
      <w:pPr>
        <w:ind w:left="3948" w:hanging="360"/>
      </w:pPr>
      <w:rPr>
        <w:rFonts w:ascii="Courier New" w:hAnsi="Courier New" w:cs="Courier New" w:hint="default"/>
      </w:rPr>
    </w:lvl>
    <w:lvl w:ilvl="5" w:tplc="080C0005" w:tentative="1">
      <w:start w:val="1"/>
      <w:numFmt w:val="bullet"/>
      <w:lvlText w:val=""/>
      <w:lvlJc w:val="left"/>
      <w:pPr>
        <w:ind w:left="4668" w:hanging="360"/>
      </w:pPr>
      <w:rPr>
        <w:rFonts w:ascii="Wingdings" w:hAnsi="Wingdings" w:hint="default"/>
      </w:rPr>
    </w:lvl>
    <w:lvl w:ilvl="6" w:tplc="080C0001" w:tentative="1">
      <w:start w:val="1"/>
      <w:numFmt w:val="bullet"/>
      <w:lvlText w:val=""/>
      <w:lvlJc w:val="left"/>
      <w:pPr>
        <w:ind w:left="5388" w:hanging="360"/>
      </w:pPr>
      <w:rPr>
        <w:rFonts w:ascii="Symbol" w:hAnsi="Symbol" w:hint="default"/>
      </w:rPr>
    </w:lvl>
    <w:lvl w:ilvl="7" w:tplc="080C0003" w:tentative="1">
      <w:start w:val="1"/>
      <w:numFmt w:val="bullet"/>
      <w:lvlText w:val="o"/>
      <w:lvlJc w:val="left"/>
      <w:pPr>
        <w:ind w:left="6108" w:hanging="360"/>
      </w:pPr>
      <w:rPr>
        <w:rFonts w:ascii="Courier New" w:hAnsi="Courier New" w:cs="Courier New" w:hint="default"/>
      </w:rPr>
    </w:lvl>
    <w:lvl w:ilvl="8" w:tplc="080C0005" w:tentative="1">
      <w:start w:val="1"/>
      <w:numFmt w:val="bullet"/>
      <w:lvlText w:val=""/>
      <w:lvlJc w:val="left"/>
      <w:pPr>
        <w:ind w:left="6828" w:hanging="360"/>
      </w:pPr>
      <w:rPr>
        <w:rFonts w:ascii="Wingdings" w:hAnsi="Wingdings" w:hint="default"/>
      </w:rPr>
    </w:lvl>
  </w:abstractNum>
  <w:abstractNum w:abstractNumId="2" w15:restartNumberingAfterBreak="0">
    <w:nsid w:val="063550B4"/>
    <w:multiLevelType w:val="hybridMultilevel"/>
    <w:tmpl w:val="C504C1EA"/>
    <w:lvl w:ilvl="0" w:tplc="75CEEEFC">
      <w:numFmt w:val="bullet"/>
      <w:lvlText w:val="-"/>
      <w:lvlJc w:val="left"/>
      <w:pPr>
        <w:ind w:left="360" w:hanging="360"/>
      </w:pPr>
      <w:rPr>
        <w:rFonts w:ascii="Calibri" w:eastAsiaTheme="minorHAnsi" w:hAnsi="Calibri" w:cs="Calibri"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3" w15:restartNumberingAfterBreak="0">
    <w:nsid w:val="16A60677"/>
    <w:multiLevelType w:val="hybridMultilevel"/>
    <w:tmpl w:val="7CAA23DA"/>
    <w:lvl w:ilvl="0" w:tplc="080C0003">
      <w:start w:val="1"/>
      <w:numFmt w:val="bullet"/>
      <w:lvlText w:val="o"/>
      <w:lvlJc w:val="left"/>
      <w:pPr>
        <w:ind w:left="1428" w:hanging="360"/>
      </w:pPr>
      <w:rPr>
        <w:rFonts w:ascii="Courier New" w:hAnsi="Courier New" w:cs="Courier New" w:hint="default"/>
      </w:rPr>
    </w:lvl>
    <w:lvl w:ilvl="1" w:tplc="080C0003" w:tentative="1">
      <w:start w:val="1"/>
      <w:numFmt w:val="bullet"/>
      <w:lvlText w:val="o"/>
      <w:lvlJc w:val="left"/>
      <w:pPr>
        <w:ind w:left="2148" w:hanging="360"/>
      </w:pPr>
      <w:rPr>
        <w:rFonts w:ascii="Courier New" w:hAnsi="Courier New" w:cs="Courier New" w:hint="default"/>
      </w:rPr>
    </w:lvl>
    <w:lvl w:ilvl="2" w:tplc="080C0005" w:tentative="1">
      <w:start w:val="1"/>
      <w:numFmt w:val="bullet"/>
      <w:lvlText w:val=""/>
      <w:lvlJc w:val="left"/>
      <w:pPr>
        <w:ind w:left="2868" w:hanging="360"/>
      </w:pPr>
      <w:rPr>
        <w:rFonts w:ascii="Wingdings" w:hAnsi="Wingdings" w:hint="default"/>
      </w:rPr>
    </w:lvl>
    <w:lvl w:ilvl="3" w:tplc="080C0001" w:tentative="1">
      <w:start w:val="1"/>
      <w:numFmt w:val="bullet"/>
      <w:lvlText w:val=""/>
      <w:lvlJc w:val="left"/>
      <w:pPr>
        <w:ind w:left="3588" w:hanging="360"/>
      </w:pPr>
      <w:rPr>
        <w:rFonts w:ascii="Symbol" w:hAnsi="Symbol" w:hint="default"/>
      </w:rPr>
    </w:lvl>
    <w:lvl w:ilvl="4" w:tplc="080C0003" w:tentative="1">
      <w:start w:val="1"/>
      <w:numFmt w:val="bullet"/>
      <w:lvlText w:val="o"/>
      <w:lvlJc w:val="left"/>
      <w:pPr>
        <w:ind w:left="4308" w:hanging="360"/>
      </w:pPr>
      <w:rPr>
        <w:rFonts w:ascii="Courier New" w:hAnsi="Courier New" w:cs="Courier New" w:hint="default"/>
      </w:rPr>
    </w:lvl>
    <w:lvl w:ilvl="5" w:tplc="080C0005" w:tentative="1">
      <w:start w:val="1"/>
      <w:numFmt w:val="bullet"/>
      <w:lvlText w:val=""/>
      <w:lvlJc w:val="left"/>
      <w:pPr>
        <w:ind w:left="5028" w:hanging="360"/>
      </w:pPr>
      <w:rPr>
        <w:rFonts w:ascii="Wingdings" w:hAnsi="Wingdings" w:hint="default"/>
      </w:rPr>
    </w:lvl>
    <w:lvl w:ilvl="6" w:tplc="080C0001" w:tentative="1">
      <w:start w:val="1"/>
      <w:numFmt w:val="bullet"/>
      <w:lvlText w:val=""/>
      <w:lvlJc w:val="left"/>
      <w:pPr>
        <w:ind w:left="5748" w:hanging="360"/>
      </w:pPr>
      <w:rPr>
        <w:rFonts w:ascii="Symbol" w:hAnsi="Symbol" w:hint="default"/>
      </w:rPr>
    </w:lvl>
    <w:lvl w:ilvl="7" w:tplc="080C0003" w:tentative="1">
      <w:start w:val="1"/>
      <w:numFmt w:val="bullet"/>
      <w:lvlText w:val="o"/>
      <w:lvlJc w:val="left"/>
      <w:pPr>
        <w:ind w:left="6468" w:hanging="360"/>
      </w:pPr>
      <w:rPr>
        <w:rFonts w:ascii="Courier New" w:hAnsi="Courier New" w:cs="Courier New" w:hint="default"/>
      </w:rPr>
    </w:lvl>
    <w:lvl w:ilvl="8" w:tplc="080C0005" w:tentative="1">
      <w:start w:val="1"/>
      <w:numFmt w:val="bullet"/>
      <w:lvlText w:val=""/>
      <w:lvlJc w:val="left"/>
      <w:pPr>
        <w:ind w:left="7188" w:hanging="360"/>
      </w:pPr>
      <w:rPr>
        <w:rFonts w:ascii="Wingdings" w:hAnsi="Wingdings" w:hint="default"/>
      </w:rPr>
    </w:lvl>
  </w:abstractNum>
  <w:abstractNum w:abstractNumId="4" w15:restartNumberingAfterBreak="0">
    <w:nsid w:val="27F361DB"/>
    <w:multiLevelType w:val="multilevel"/>
    <w:tmpl w:val="ACF24F5C"/>
    <w:lvl w:ilvl="0">
      <w:start w:val="4"/>
      <w:numFmt w:val="bullet"/>
      <w:lvlText w:val="-"/>
      <w:lvlJc w:val="left"/>
      <w:pPr>
        <w:ind w:left="290" w:hanging="360"/>
      </w:pPr>
      <w:rPr>
        <w:rFonts w:ascii="Calibri" w:hAnsi="Calibri" w:cs="Calibri" w:hint="default"/>
        <w:b/>
      </w:rPr>
    </w:lvl>
    <w:lvl w:ilvl="1">
      <w:start w:val="1"/>
      <w:numFmt w:val="bullet"/>
      <w:lvlText w:val="o"/>
      <w:lvlJc w:val="left"/>
      <w:pPr>
        <w:ind w:left="1010" w:hanging="360"/>
      </w:pPr>
      <w:rPr>
        <w:rFonts w:ascii="Courier New" w:hAnsi="Courier New" w:cs="Courier New" w:hint="default"/>
      </w:rPr>
    </w:lvl>
    <w:lvl w:ilvl="2">
      <w:start w:val="1"/>
      <w:numFmt w:val="bullet"/>
      <w:lvlText w:val=""/>
      <w:lvlJc w:val="left"/>
      <w:pPr>
        <w:ind w:left="1730" w:hanging="360"/>
      </w:pPr>
      <w:rPr>
        <w:rFonts w:ascii="Wingdings" w:hAnsi="Wingdings" w:cs="Wingdings" w:hint="default"/>
      </w:rPr>
    </w:lvl>
    <w:lvl w:ilvl="3">
      <w:start w:val="1"/>
      <w:numFmt w:val="bullet"/>
      <w:lvlText w:val=""/>
      <w:lvlJc w:val="left"/>
      <w:pPr>
        <w:ind w:left="2450" w:hanging="360"/>
      </w:pPr>
      <w:rPr>
        <w:rFonts w:ascii="Symbol" w:hAnsi="Symbol" w:cs="Symbol" w:hint="default"/>
      </w:rPr>
    </w:lvl>
    <w:lvl w:ilvl="4">
      <w:start w:val="1"/>
      <w:numFmt w:val="bullet"/>
      <w:lvlText w:val="o"/>
      <w:lvlJc w:val="left"/>
      <w:pPr>
        <w:ind w:left="3170" w:hanging="360"/>
      </w:pPr>
      <w:rPr>
        <w:rFonts w:ascii="Courier New" w:hAnsi="Courier New" w:cs="Courier New" w:hint="default"/>
      </w:rPr>
    </w:lvl>
    <w:lvl w:ilvl="5">
      <w:start w:val="1"/>
      <w:numFmt w:val="bullet"/>
      <w:lvlText w:val=""/>
      <w:lvlJc w:val="left"/>
      <w:pPr>
        <w:ind w:left="3890" w:hanging="360"/>
      </w:pPr>
      <w:rPr>
        <w:rFonts w:ascii="Wingdings" w:hAnsi="Wingdings" w:cs="Wingdings" w:hint="default"/>
      </w:rPr>
    </w:lvl>
    <w:lvl w:ilvl="6">
      <w:start w:val="1"/>
      <w:numFmt w:val="bullet"/>
      <w:lvlText w:val=""/>
      <w:lvlJc w:val="left"/>
      <w:pPr>
        <w:ind w:left="4610" w:hanging="360"/>
      </w:pPr>
      <w:rPr>
        <w:rFonts w:ascii="Symbol" w:hAnsi="Symbol" w:cs="Symbol" w:hint="default"/>
      </w:rPr>
    </w:lvl>
    <w:lvl w:ilvl="7">
      <w:start w:val="1"/>
      <w:numFmt w:val="bullet"/>
      <w:lvlText w:val="o"/>
      <w:lvlJc w:val="left"/>
      <w:pPr>
        <w:ind w:left="5330" w:hanging="360"/>
      </w:pPr>
      <w:rPr>
        <w:rFonts w:ascii="Courier New" w:hAnsi="Courier New" w:cs="Courier New" w:hint="default"/>
      </w:rPr>
    </w:lvl>
    <w:lvl w:ilvl="8">
      <w:start w:val="1"/>
      <w:numFmt w:val="bullet"/>
      <w:lvlText w:val=""/>
      <w:lvlJc w:val="left"/>
      <w:pPr>
        <w:ind w:left="6050" w:hanging="360"/>
      </w:pPr>
      <w:rPr>
        <w:rFonts w:ascii="Wingdings" w:hAnsi="Wingdings" w:cs="Wingdings" w:hint="default"/>
      </w:rPr>
    </w:lvl>
  </w:abstractNum>
  <w:abstractNum w:abstractNumId="5" w15:restartNumberingAfterBreak="0">
    <w:nsid w:val="2D210C8D"/>
    <w:multiLevelType w:val="hybridMultilevel"/>
    <w:tmpl w:val="68ECC5D6"/>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44E36BBD"/>
    <w:multiLevelType w:val="hybridMultilevel"/>
    <w:tmpl w:val="02EEDA3E"/>
    <w:lvl w:ilvl="0" w:tplc="9E906084">
      <w:start w:val="1070"/>
      <w:numFmt w:val="bullet"/>
      <w:lvlText w:val="-"/>
      <w:lvlJc w:val="left"/>
      <w:pPr>
        <w:ind w:left="290" w:hanging="360"/>
      </w:pPr>
      <w:rPr>
        <w:rFonts w:ascii="Calibri" w:eastAsiaTheme="minorHAnsi" w:hAnsi="Calibri" w:cs="Calibri" w:hint="default"/>
      </w:rPr>
    </w:lvl>
    <w:lvl w:ilvl="1" w:tplc="080C0003">
      <w:start w:val="1"/>
      <w:numFmt w:val="bullet"/>
      <w:lvlText w:val="o"/>
      <w:lvlJc w:val="left"/>
      <w:pPr>
        <w:ind w:left="1010" w:hanging="360"/>
      </w:pPr>
      <w:rPr>
        <w:rFonts w:ascii="Courier New" w:hAnsi="Courier New" w:cs="Courier New" w:hint="default"/>
      </w:rPr>
    </w:lvl>
    <w:lvl w:ilvl="2" w:tplc="080C0005" w:tentative="1">
      <w:start w:val="1"/>
      <w:numFmt w:val="bullet"/>
      <w:lvlText w:val=""/>
      <w:lvlJc w:val="left"/>
      <w:pPr>
        <w:ind w:left="1730" w:hanging="360"/>
      </w:pPr>
      <w:rPr>
        <w:rFonts w:ascii="Wingdings" w:hAnsi="Wingdings" w:hint="default"/>
      </w:rPr>
    </w:lvl>
    <w:lvl w:ilvl="3" w:tplc="080C0001" w:tentative="1">
      <w:start w:val="1"/>
      <w:numFmt w:val="bullet"/>
      <w:lvlText w:val=""/>
      <w:lvlJc w:val="left"/>
      <w:pPr>
        <w:ind w:left="2450" w:hanging="360"/>
      </w:pPr>
      <w:rPr>
        <w:rFonts w:ascii="Symbol" w:hAnsi="Symbol" w:hint="default"/>
      </w:rPr>
    </w:lvl>
    <w:lvl w:ilvl="4" w:tplc="080C0003" w:tentative="1">
      <w:start w:val="1"/>
      <w:numFmt w:val="bullet"/>
      <w:lvlText w:val="o"/>
      <w:lvlJc w:val="left"/>
      <w:pPr>
        <w:ind w:left="3170" w:hanging="360"/>
      </w:pPr>
      <w:rPr>
        <w:rFonts w:ascii="Courier New" w:hAnsi="Courier New" w:cs="Courier New" w:hint="default"/>
      </w:rPr>
    </w:lvl>
    <w:lvl w:ilvl="5" w:tplc="080C0005" w:tentative="1">
      <w:start w:val="1"/>
      <w:numFmt w:val="bullet"/>
      <w:lvlText w:val=""/>
      <w:lvlJc w:val="left"/>
      <w:pPr>
        <w:ind w:left="3890" w:hanging="360"/>
      </w:pPr>
      <w:rPr>
        <w:rFonts w:ascii="Wingdings" w:hAnsi="Wingdings" w:hint="default"/>
      </w:rPr>
    </w:lvl>
    <w:lvl w:ilvl="6" w:tplc="080C0001" w:tentative="1">
      <w:start w:val="1"/>
      <w:numFmt w:val="bullet"/>
      <w:lvlText w:val=""/>
      <w:lvlJc w:val="left"/>
      <w:pPr>
        <w:ind w:left="4610" w:hanging="360"/>
      </w:pPr>
      <w:rPr>
        <w:rFonts w:ascii="Symbol" w:hAnsi="Symbol" w:hint="default"/>
      </w:rPr>
    </w:lvl>
    <w:lvl w:ilvl="7" w:tplc="080C0003" w:tentative="1">
      <w:start w:val="1"/>
      <w:numFmt w:val="bullet"/>
      <w:lvlText w:val="o"/>
      <w:lvlJc w:val="left"/>
      <w:pPr>
        <w:ind w:left="5330" w:hanging="360"/>
      </w:pPr>
      <w:rPr>
        <w:rFonts w:ascii="Courier New" w:hAnsi="Courier New" w:cs="Courier New" w:hint="default"/>
      </w:rPr>
    </w:lvl>
    <w:lvl w:ilvl="8" w:tplc="080C0005" w:tentative="1">
      <w:start w:val="1"/>
      <w:numFmt w:val="bullet"/>
      <w:lvlText w:val=""/>
      <w:lvlJc w:val="left"/>
      <w:pPr>
        <w:ind w:left="6050" w:hanging="360"/>
      </w:pPr>
      <w:rPr>
        <w:rFonts w:ascii="Wingdings" w:hAnsi="Wingdings" w:hint="default"/>
      </w:rPr>
    </w:lvl>
  </w:abstractNum>
  <w:abstractNum w:abstractNumId="7" w15:restartNumberingAfterBreak="0">
    <w:nsid w:val="51044BF1"/>
    <w:multiLevelType w:val="hybridMultilevel"/>
    <w:tmpl w:val="D2C8EF7A"/>
    <w:lvl w:ilvl="0" w:tplc="AC861C60">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8" w15:restartNumberingAfterBreak="0">
    <w:nsid w:val="5C805C8B"/>
    <w:multiLevelType w:val="hybridMultilevel"/>
    <w:tmpl w:val="25A6D2B4"/>
    <w:lvl w:ilvl="0" w:tplc="212849D6">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 w15:restartNumberingAfterBreak="0">
    <w:nsid w:val="5CFC013E"/>
    <w:multiLevelType w:val="hybridMultilevel"/>
    <w:tmpl w:val="CD48C92A"/>
    <w:lvl w:ilvl="0" w:tplc="75CEEEFC">
      <w:numFmt w:val="bullet"/>
      <w:lvlText w:val="-"/>
      <w:lvlJc w:val="left"/>
      <w:pPr>
        <w:ind w:left="1068" w:hanging="360"/>
      </w:pPr>
      <w:rPr>
        <w:rFonts w:ascii="Calibri" w:eastAsiaTheme="minorHAnsi" w:hAnsi="Calibri" w:cs="Calibri" w:hint="default"/>
      </w:rPr>
    </w:lvl>
    <w:lvl w:ilvl="1" w:tplc="080C0003" w:tentative="1">
      <w:start w:val="1"/>
      <w:numFmt w:val="bullet"/>
      <w:lvlText w:val="o"/>
      <w:lvlJc w:val="left"/>
      <w:pPr>
        <w:ind w:left="2148" w:hanging="360"/>
      </w:pPr>
      <w:rPr>
        <w:rFonts w:ascii="Courier New" w:hAnsi="Courier New" w:cs="Courier New" w:hint="default"/>
      </w:rPr>
    </w:lvl>
    <w:lvl w:ilvl="2" w:tplc="080C0005" w:tentative="1">
      <w:start w:val="1"/>
      <w:numFmt w:val="bullet"/>
      <w:lvlText w:val=""/>
      <w:lvlJc w:val="left"/>
      <w:pPr>
        <w:ind w:left="2868" w:hanging="360"/>
      </w:pPr>
      <w:rPr>
        <w:rFonts w:ascii="Wingdings" w:hAnsi="Wingdings" w:hint="default"/>
      </w:rPr>
    </w:lvl>
    <w:lvl w:ilvl="3" w:tplc="080C0001" w:tentative="1">
      <w:start w:val="1"/>
      <w:numFmt w:val="bullet"/>
      <w:lvlText w:val=""/>
      <w:lvlJc w:val="left"/>
      <w:pPr>
        <w:ind w:left="3588" w:hanging="360"/>
      </w:pPr>
      <w:rPr>
        <w:rFonts w:ascii="Symbol" w:hAnsi="Symbol" w:hint="default"/>
      </w:rPr>
    </w:lvl>
    <w:lvl w:ilvl="4" w:tplc="080C0003" w:tentative="1">
      <w:start w:val="1"/>
      <w:numFmt w:val="bullet"/>
      <w:lvlText w:val="o"/>
      <w:lvlJc w:val="left"/>
      <w:pPr>
        <w:ind w:left="4308" w:hanging="360"/>
      </w:pPr>
      <w:rPr>
        <w:rFonts w:ascii="Courier New" w:hAnsi="Courier New" w:cs="Courier New" w:hint="default"/>
      </w:rPr>
    </w:lvl>
    <w:lvl w:ilvl="5" w:tplc="080C0005" w:tentative="1">
      <w:start w:val="1"/>
      <w:numFmt w:val="bullet"/>
      <w:lvlText w:val=""/>
      <w:lvlJc w:val="left"/>
      <w:pPr>
        <w:ind w:left="5028" w:hanging="360"/>
      </w:pPr>
      <w:rPr>
        <w:rFonts w:ascii="Wingdings" w:hAnsi="Wingdings" w:hint="default"/>
      </w:rPr>
    </w:lvl>
    <w:lvl w:ilvl="6" w:tplc="080C0001" w:tentative="1">
      <w:start w:val="1"/>
      <w:numFmt w:val="bullet"/>
      <w:lvlText w:val=""/>
      <w:lvlJc w:val="left"/>
      <w:pPr>
        <w:ind w:left="5748" w:hanging="360"/>
      </w:pPr>
      <w:rPr>
        <w:rFonts w:ascii="Symbol" w:hAnsi="Symbol" w:hint="default"/>
      </w:rPr>
    </w:lvl>
    <w:lvl w:ilvl="7" w:tplc="080C0003" w:tentative="1">
      <w:start w:val="1"/>
      <w:numFmt w:val="bullet"/>
      <w:lvlText w:val="o"/>
      <w:lvlJc w:val="left"/>
      <w:pPr>
        <w:ind w:left="6468" w:hanging="360"/>
      </w:pPr>
      <w:rPr>
        <w:rFonts w:ascii="Courier New" w:hAnsi="Courier New" w:cs="Courier New" w:hint="default"/>
      </w:rPr>
    </w:lvl>
    <w:lvl w:ilvl="8" w:tplc="080C0005" w:tentative="1">
      <w:start w:val="1"/>
      <w:numFmt w:val="bullet"/>
      <w:lvlText w:val=""/>
      <w:lvlJc w:val="left"/>
      <w:pPr>
        <w:ind w:left="7188" w:hanging="360"/>
      </w:pPr>
      <w:rPr>
        <w:rFonts w:ascii="Wingdings" w:hAnsi="Wingdings" w:hint="default"/>
      </w:rPr>
    </w:lvl>
  </w:abstractNum>
  <w:abstractNum w:abstractNumId="10" w15:restartNumberingAfterBreak="0">
    <w:nsid w:val="608929F1"/>
    <w:multiLevelType w:val="multilevel"/>
    <w:tmpl w:val="695A0656"/>
    <w:lvl w:ilvl="0">
      <w:start w:val="1"/>
      <w:numFmt w:val="upperLetter"/>
      <w:lvlText w:val="%1."/>
      <w:lvlJc w:val="left"/>
      <w:pPr>
        <w:ind w:left="720" w:hanging="360"/>
      </w:pPr>
      <w:rPr>
        <w:rFonts w:ascii="Calibri" w:eastAsia="Times New Roman" w:hAnsi="Calibri" w:cs="Times New Roman"/>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1731FF2"/>
    <w:multiLevelType w:val="hybridMultilevel"/>
    <w:tmpl w:val="996673E2"/>
    <w:lvl w:ilvl="0" w:tplc="080C0003">
      <w:start w:val="1"/>
      <w:numFmt w:val="bullet"/>
      <w:lvlText w:val="o"/>
      <w:lvlJc w:val="left"/>
      <w:pPr>
        <w:ind w:left="1068" w:hanging="360"/>
      </w:pPr>
      <w:rPr>
        <w:rFonts w:ascii="Courier New" w:hAnsi="Courier New" w:cs="Courier New" w:hint="default"/>
      </w:rPr>
    </w:lvl>
    <w:lvl w:ilvl="1" w:tplc="080C0003" w:tentative="1">
      <w:start w:val="1"/>
      <w:numFmt w:val="bullet"/>
      <w:lvlText w:val="o"/>
      <w:lvlJc w:val="left"/>
      <w:pPr>
        <w:ind w:left="2148" w:hanging="360"/>
      </w:pPr>
      <w:rPr>
        <w:rFonts w:ascii="Courier New" w:hAnsi="Courier New" w:cs="Courier New" w:hint="default"/>
      </w:rPr>
    </w:lvl>
    <w:lvl w:ilvl="2" w:tplc="080C0005" w:tentative="1">
      <w:start w:val="1"/>
      <w:numFmt w:val="bullet"/>
      <w:lvlText w:val=""/>
      <w:lvlJc w:val="left"/>
      <w:pPr>
        <w:ind w:left="2868" w:hanging="360"/>
      </w:pPr>
      <w:rPr>
        <w:rFonts w:ascii="Wingdings" w:hAnsi="Wingdings" w:hint="default"/>
      </w:rPr>
    </w:lvl>
    <w:lvl w:ilvl="3" w:tplc="080C0001" w:tentative="1">
      <w:start w:val="1"/>
      <w:numFmt w:val="bullet"/>
      <w:lvlText w:val=""/>
      <w:lvlJc w:val="left"/>
      <w:pPr>
        <w:ind w:left="3588" w:hanging="360"/>
      </w:pPr>
      <w:rPr>
        <w:rFonts w:ascii="Symbol" w:hAnsi="Symbol" w:hint="default"/>
      </w:rPr>
    </w:lvl>
    <w:lvl w:ilvl="4" w:tplc="080C0003" w:tentative="1">
      <w:start w:val="1"/>
      <w:numFmt w:val="bullet"/>
      <w:lvlText w:val="o"/>
      <w:lvlJc w:val="left"/>
      <w:pPr>
        <w:ind w:left="4308" w:hanging="360"/>
      </w:pPr>
      <w:rPr>
        <w:rFonts w:ascii="Courier New" w:hAnsi="Courier New" w:cs="Courier New" w:hint="default"/>
      </w:rPr>
    </w:lvl>
    <w:lvl w:ilvl="5" w:tplc="080C0005" w:tentative="1">
      <w:start w:val="1"/>
      <w:numFmt w:val="bullet"/>
      <w:lvlText w:val=""/>
      <w:lvlJc w:val="left"/>
      <w:pPr>
        <w:ind w:left="5028" w:hanging="360"/>
      </w:pPr>
      <w:rPr>
        <w:rFonts w:ascii="Wingdings" w:hAnsi="Wingdings" w:hint="default"/>
      </w:rPr>
    </w:lvl>
    <w:lvl w:ilvl="6" w:tplc="080C0001" w:tentative="1">
      <w:start w:val="1"/>
      <w:numFmt w:val="bullet"/>
      <w:lvlText w:val=""/>
      <w:lvlJc w:val="left"/>
      <w:pPr>
        <w:ind w:left="5748" w:hanging="360"/>
      </w:pPr>
      <w:rPr>
        <w:rFonts w:ascii="Symbol" w:hAnsi="Symbol" w:hint="default"/>
      </w:rPr>
    </w:lvl>
    <w:lvl w:ilvl="7" w:tplc="080C0003" w:tentative="1">
      <w:start w:val="1"/>
      <w:numFmt w:val="bullet"/>
      <w:lvlText w:val="o"/>
      <w:lvlJc w:val="left"/>
      <w:pPr>
        <w:ind w:left="6468" w:hanging="360"/>
      </w:pPr>
      <w:rPr>
        <w:rFonts w:ascii="Courier New" w:hAnsi="Courier New" w:cs="Courier New" w:hint="default"/>
      </w:rPr>
    </w:lvl>
    <w:lvl w:ilvl="8" w:tplc="080C0005" w:tentative="1">
      <w:start w:val="1"/>
      <w:numFmt w:val="bullet"/>
      <w:lvlText w:val=""/>
      <w:lvlJc w:val="left"/>
      <w:pPr>
        <w:ind w:left="7188" w:hanging="360"/>
      </w:pPr>
      <w:rPr>
        <w:rFonts w:ascii="Wingdings" w:hAnsi="Wingdings" w:hint="default"/>
      </w:rPr>
    </w:lvl>
  </w:abstractNum>
  <w:abstractNum w:abstractNumId="12" w15:restartNumberingAfterBreak="0">
    <w:nsid w:val="73071D6F"/>
    <w:multiLevelType w:val="multilevel"/>
    <w:tmpl w:val="C3A0518C"/>
    <w:lvl w:ilvl="0">
      <w:start w:val="1"/>
      <w:numFmt w:val="upperLetter"/>
      <w:lvlText w:val="%1."/>
      <w:lvlJc w:val="left"/>
      <w:pPr>
        <w:ind w:left="785" w:hanging="360"/>
      </w:pPr>
      <w:rPr>
        <w:rFonts w:ascii="Calibri" w:eastAsia="Times New Roman" w:hAnsi="Calibri" w:cs="Times New Roman"/>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73F01BB"/>
    <w:multiLevelType w:val="multilevel"/>
    <w:tmpl w:val="2E721FF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0"/>
  </w:num>
  <w:num w:numId="2">
    <w:abstractNumId w:val="4"/>
  </w:num>
  <w:num w:numId="3">
    <w:abstractNumId w:val="12"/>
  </w:num>
  <w:num w:numId="4">
    <w:abstractNumId w:val="13"/>
  </w:num>
  <w:num w:numId="5">
    <w:abstractNumId w:val="7"/>
  </w:num>
  <w:num w:numId="6">
    <w:abstractNumId w:val="8"/>
  </w:num>
  <w:num w:numId="7">
    <w:abstractNumId w:val="6"/>
  </w:num>
  <w:num w:numId="8">
    <w:abstractNumId w:val="2"/>
  </w:num>
  <w:num w:numId="9">
    <w:abstractNumId w:val="5"/>
  </w:num>
  <w:num w:numId="10">
    <w:abstractNumId w:val="0"/>
  </w:num>
  <w:num w:numId="11">
    <w:abstractNumId w:val="3"/>
  </w:num>
  <w:num w:numId="12">
    <w:abstractNumId w:val="9"/>
  </w:num>
  <w:num w:numId="13">
    <w:abstractNumId w:val="11"/>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DFBB8AB-F434-4876-A5F4-284EEAA0F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ommentaireCar">
    <w:name w:val="Commentaire Car"/>
    <w:basedOn w:val="Policepardfaut"/>
    <w:link w:val="Commentaire"/>
    <w:uiPriority w:val="99"/>
    <w:qFormat/>
    <w:rPr>
      <w:rFonts w:ascii="Century Schoolbook" w:eastAsia="Times New Roman" w:hAnsi="Century Schoolbook" w:cs="Century Schoolbook"/>
      <w:sz w:val="20"/>
      <w:szCs w:val="20"/>
      <w:lang w:eastAsia="fr-FR"/>
    </w:rPr>
  </w:style>
  <w:style w:type="character" w:customStyle="1" w:styleId="NotedebasdepageCar">
    <w:name w:val="Note de bas de page Car"/>
    <w:basedOn w:val="Policepardfaut"/>
    <w:link w:val="Notedebasdepage"/>
    <w:uiPriority w:val="99"/>
    <w:semiHidden/>
    <w:qFormat/>
    <w:rPr>
      <w:sz w:val="20"/>
      <w:szCs w:val="20"/>
    </w:rPr>
  </w:style>
  <w:style w:type="character" w:customStyle="1" w:styleId="Ancredenotedebasdepage">
    <w:name w:val="Ancre de note de bas de page"/>
    <w:rPr>
      <w:vertAlign w:val="superscript"/>
    </w:rPr>
  </w:style>
  <w:style w:type="character" w:customStyle="1" w:styleId="FootnoteCharacters">
    <w:name w:val="Footnote Characters"/>
    <w:basedOn w:val="Policepardfaut"/>
    <w:uiPriority w:val="99"/>
    <w:unhideWhenUsed/>
    <w:qFormat/>
    <w:rPr>
      <w:vertAlign w:val="superscript"/>
    </w:rPr>
  </w:style>
  <w:style w:type="character" w:styleId="Marquedecommentaire">
    <w:name w:val="annotation reference"/>
    <w:basedOn w:val="Policepardfaut"/>
    <w:uiPriority w:val="99"/>
    <w:semiHidden/>
    <w:unhideWhenUsed/>
    <w:qFormat/>
    <w:rPr>
      <w:sz w:val="16"/>
      <w:szCs w:val="16"/>
    </w:rPr>
  </w:style>
  <w:style w:type="character" w:customStyle="1" w:styleId="En-tteCar">
    <w:name w:val="En-tête Car"/>
    <w:basedOn w:val="Policepardfaut"/>
    <w:uiPriority w:val="99"/>
    <w:qFormat/>
  </w:style>
  <w:style w:type="character" w:customStyle="1" w:styleId="PieddepageCar">
    <w:name w:val="Pied de page Car"/>
    <w:basedOn w:val="Policepardfaut"/>
    <w:link w:val="Pieddepage"/>
    <w:uiPriority w:val="99"/>
    <w:qFormat/>
  </w:style>
  <w:style w:type="character" w:customStyle="1" w:styleId="TextedebullesCar">
    <w:name w:val="Texte de bulles Car"/>
    <w:basedOn w:val="Policepardfaut"/>
    <w:link w:val="Textedebulles"/>
    <w:uiPriority w:val="99"/>
    <w:semiHidden/>
    <w:qFormat/>
    <w:rPr>
      <w:rFonts w:ascii="Segoe UI" w:hAnsi="Segoe UI" w:cs="Segoe UI"/>
      <w:sz w:val="18"/>
      <w:szCs w:val="18"/>
    </w:rPr>
  </w:style>
  <w:style w:type="character" w:customStyle="1" w:styleId="ObjetducommentaireCar">
    <w:name w:val="Objet du commentaire Car"/>
    <w:basedOn w:val="CommentaireCar"/>
    <w:link w:val="Objetducommentaire"/>
    <w:uiPriority w:val="99"/>
    <w:semiHidden/>
    <w:qFormat/>
    <w:rPr>
      <w:rFonts w:ascii="Century Schoolbook" w:eastAsia="Times New Roman" w:hAnsi="Century Schoolbook" w:cs="Century Schoolbook"/>
      <w:b/>
      <w:bCs/>
      <w:sz w:val="20"/>
      <w:szCs w:val="20"/>
      <w:lang w:eastAsia="fr-FR"/>
    </w:rPr>
  </w:style>
  <w:style w:type="character" w:customStyle="1" w:styleId="LienInternet">
    <w:name w:val="Lien Internet"/>
    <w:basedOn w:val="Policepardfaut"/>
    <w:uiPriority w:val="99"/>
    <w:unhideWhenUsed/>
    <w:rPr>
      <w:color w:val="0563C1" w:themeColor="hyperlink"/>
      <w:u w:val="single"/>
    </w:rPr>
  </w:style>
  <w:style w:type="character" w:styleId="lev">
    <w:name w:val="Strong"/>
    <w:basedOn w:val="Policepardfaut"/>
    <w:uiPriority w:val="22"/>
    <w:qFormat/>
    <w:rPr>
      <w:b/>
      <w:bCs/>
    </w:rPr>
  </w:style>
  <w:style w:type="character" w:customStyle="1" w:styleId="TitreCar">
    <w:name w:val="Titre Car"/>
    <w:basedOn w:val="Policepardfaut"/>
    <w:link w:val="Titre"/>
    <w:uiPriority w:val="10"/>
    <w:qFormat/>
    <w:rPr>
      <w:rFonts w:asciiTheme="majorHAnsi" w:eastAsiaTheme="majorEastAsia" w:hAnsiTheme="majorHAnsi" w:cstheme="majorBidi"/>
      <w:b/>
      <w:caps/>
      <w:color w:val="5B9BD5" w:themeColor="accent1"/>
      <w:spacing w:val="30"/>
      <w:kern w:val="2"/>
      <w:sz w:val="72"/>
      <w:szCs w:val="52"/>
      <w:lang w:val="nl-BE" w:eastAsia="nl-BE"/>
      <w14:textOutline w14:w="9525" w14:cap="rnd" w14:cmpd="sng" w14:algn="ctr">
        <w14:noFill/>
        <w14:prstDash w14:val="solid"/>
        <w14:bevel/>
      </w14:textOutline>
    </w:rPr>
  </w:style>
  <w:style w:type="character" w:customStyle="1" w:styleId="Sous-titreCar">
    <w:name w:val="Sous-titre Car"/>
    <w:basedOn w:val="Policepardfaut"/>
    <w:uiPriority w:val="11"/>
    <w:qFormat/>
    <w:rPr>
      <w:rFonts w:ascii="Arial" w:eastAsiaTheme="majorEastAsia" w:hAnsi="Arial" w:cstheme="majorBidi"/>
      <w:b/>
      <w:iCs/>
      <w:caps/>
      <w:color w:val="ED7D31" w:themeColor="accent2"/>
      <w:sz w:val="44"/>
      <w:szCs w:val="24"/>
      <w:lang w:val="nl-BE" w:eastAsia="nl-BE" w:bidi="hi-IN"/>
    </w:rPr>
  </w:style>
  <w:style w:type="character" w:styleId="Textedelespacerserv">
    <w:name w:val="Placeholder Text"/>
    <w:basedOn w:val="Policepardfaut"/>
    <w:uiPriority w:val="99"/>
    <w:semiHidden/>
    <w:qFormat/>
    <w:rPr>
      <w:color w:val="808080"/>
    </w:rPr>
  </w:style>
  <w:style w:type="character" w:customStyle="1" w:styleId="Caractresdenotedebasdepage">
    <w:name w:val="Caractères de note de bas de page"/>
    <w:qFormat/>
  </w:style>
  <w:style w:type="character" w:customStyle="1" w:styleId="Ancredenotedefin">
    <w:name w:val="Ancre de note de fin"/>
    <w:rPr>
      <w:vertAlign w:val="superscript"/>
    </w:rPr>
  </w:style>
  <w:style w:type="character" w:customStyle="1" w:styleId="Caractresdenotedefin">
    <w:name w:val="Caractères de note de fin"/>
    <w:qFormat/>
  </w:style>
  <w:style w:type="paragraph" w:styleId="Titre">
    <w:name w:val="Title"/>
    <w:basedOn w:val="Normal"/>
    <w:next w:val="Corpsdetexte"/>
    <w:link w:val="TitreCar"/>
    <w:uiPriority w:val="10"/>
    <w:qFormat/>
    <w:pPr>
      <w:spacing w:before="3600" w:after="240" w:line="240" w:lineRule="auto"/>
      <w:contextualSpacing/>
    </w:pPr>
    <w:rPr>
      <w:rFonts w:asciiTheme="majorHAnsi" w:eastAsiaTheme="majorEastAsia" w:hAnsiTheme="majorHAnsi" w:cstheme="majorBidi"/>
      <w:b/>
      <w:caps/>
      <w:color w:val="5B9BD5" w:themeColor="accent1"/>
      <w:spacing w:val="30"/>
      <w:kern w:val="2"/>
      <w:sz w:val="72"/>
      <w:szCs w:val="52"/>
      <w:lang w:val="nl-BE" w:eastAsia="nl-BE"/>
      <w14:textOutline w14:w="9525" w14:cap="rnd" w14:cmpd="sng" w14:algn="ctr">
        <w14:noFill/>
        <w14:prstDash w14:val="solid"/>
        <w14:bevel/>
      </w14:textOutline>
    </w:rPr>
  </w:style>
  <w:style w:type="paragraph" w:styleId="Corpsdetexte">
    <w:name w:val="Body Text"/>
    <w:basedOn w:val="Normal"/>
    <w:pPr>
      <w:spacing w:after="140"/>
    </w:pPr>
  </w:style>
  <w:style w:type="paragraph" w:styleId="Liste">
    <w:name w:val="List"/>
    <w:basedOn w:val="Corpsdetexte"/>
    <w:rPr>
      <w:rFonts w:cs="Mangal"/>
    </w:rPr>
  </w:style>
  <w:style w:type="paragraph" w:styleId="Lgende">
    <w:name w:val="caption"/>
    <w:basedOn w:val="Normal"/>
    <w:qFormat/>
    <w:pPr>
      <w:suppressLineNumbers/>
      <w:spacing w:before="120" w:after="120"/>
    </w:pPr>
    <w:rPr>
      <w:rFonts w:cs="Mangal"/>
      <w:i/>
      <w:iCs/>
      <w:sz w:val="24"/>
      <w:szCs w:val="24"/>
    </w:rPr>
  </w:style>
  <w:style w:type="paragraph" w:customStyle="1" w:styleId="Index">
    <w:name w:val="Index"/>
    <w:basedOn w:val="Normal"/>
    <w:qFormat/>
    <w:pPr>
      <w:suppressLineNumbers/>
    </w:pPr>
    <w:rPr>
      <w:rFonts w:cs="Mangal"/>
    </w:rPr>
  </w:style>
  <w:style w:type="paragraph" w:styleId="Commentaire">
    <w:name w:val="annotation text"/>
    <w:basedOn w:val="Normal"/>
    <w:link w:val="CommentaireCar"/>
    <w:uiPriority w:val="99"/>
    <w:qFormat/>
    <w:pPr>
      <w:widowControl w:val="0"/>
      <w:spacing w:after="0" w:line="240" w:lineRule="exact"/>
      <w:jc w:val="both"/>
    </w:pPr>
    <w:rPr>
      <w:rFonts w:ascii="Century Schoolbook" w:eastAsia="Times New Roman" w:hAnsi="Century Schoolbook" w:cs="Century Schoolbook"/>
      <w:sz w:val="20"/>
      <w:szCs w:val="20"/>
      <w:lang w:eastAsia="fr-FR"/>
    </w:rPr>
  </w:style>
  <w:style w:type="paragraph" w:styleId="Notedebasdepage">
    <w:name w:val="footnote text"/>
    <w:basedOn w:val="Normal"/>
    <w:link w:val="NotedebasdepageCar"/>
    <w:uiPriority w:val="99"/>
    <w:semiHidden/>
    <w:unhideWhenUsed/>
    <w:pPr>
      <w:spacing w:after="0" w:line="240" w:lineRule="auto"/>
    </w:pPr>
    <w:rPr>
      <w:sz w:val="20"/>
      <w:szCs w:val="20"/>
    </w:rPr>
  </w:style>
  <w:style w:type="paragraph" w:customStyle="1" w:styleId="En-tteetpieddepage">
    <w:name w:val="En-tête et pied de page"/>
    <w:basedOn w:val="Normal"/>
    <w:qFormat/>
  </w:style>
  <w:style w:type="paragraph" w:styleId="En-tte">
    <w:name w:val="header"/>
    <w:basedOn w:val="Normal"/>
    <w:unhideWhenUsed/>
    <w:pPr>
      <w:tabs>
        <w:tab w:val="center" w:pos="4536"/>
        <w:tab w:val="right" w:pos="9072"/>
      </w:tabs>
      <w:spacing w:after="0" w:line="240" w:lineRule="auto"/>
    </w:pPr>
  </w:style>
  <w:style w:type="paragraph" w:styleId="Pieddepage">
    <w:name w:val="footer"/>
    <w:basedOn w:val="Normal"/>
    <w:link w:val="PieddepageCar"/>
    <w:uiPriority w:val="99"/>
    <w:unhideWhenUsed/>
    <w:pPr>
      <w:tabs>
        <w:tab w:val="center" w:pos="4536"/>
        <w:tab w:val="right" w:pos="9072"/>
      </w:tabs>
      <w:spacing w:after="0" w:line="240" w:lineRule="auto"/>
    </w:pPr>
  </w:style>
  <w:style w:type="paragraph" w:styleId="Textedebulles">
    <w:name w:val="Balloon Text"/>
    <w:basedOn w:val="Normal"/>
    <w:link w:val="TextedebullesCar"/>
    <w:uiPriority w:val="99"/>
    <w:semiHidden/>
    <w:unhideWhenUsed/>
    <w:qFormat/>
    <w:pPr>
      <w:spacing w:after="0" w:line="240" w:lineRule="auto"/>
    </w:pPr>
    <w:rPr>
      <w:rFonts w:ascii="Segoe UI" w:hAnsi="Segoe UI" w:cs="Segoe UI"/>
      <w:sz w:val="18"/>
      <w:szCs w:val="18"/>
    </w:rPr>
  </w:style>
  <w:style w:type="paragraph" w:styleId="Paragraphedeliste">
    <w:name w:val="List Paragraph"/>
    <w:basedOn w:val="Normal"/>
    <w:uiPriority w:val="34"/>
    <w:qFormat/>
    <w:pPr>
      <w:spacing w:after="160" w:line="259" w:lineRule="auto"/>
      <w:ind w:left="720"/>
      <w:contextualSpacing/>
    </w:pPr>
    <w:rPr>
      <w:rFonts w:ascii="Calibri" w:eastAsia="Calibri" w:hAnsi="Calibri" w:cs="Times New Roman"/>
    </w:rPr>
  </w:style>
  <w:style w:type="paragraph" w:styleId="Objetducommentaire">
    <w:name w:val="annotation subject"/>
    <w:basedOn w:val="Commentaire"/>
    <w:next w:val="Commentaire"/>
    <w:link w:val="ObjetducommentaireCar"/>
    <w:uiPriority w:val="99"/>
    <w:semiHidden/>
    <w:unhideWhenUsed/>
    <w:qFormat/>
    <w:pPr>
      <w:widowControl/>
      <w:spacing w:after="200" w:line="240" w:lineRule="auto"/>
      <w:jc w:val="left"/>
    </w:pPr>
    <w:rPr>
      <w:rFonts w:asciiTheme="minorHAnsi" w:eastAsiaTheme="minorHAnsi" w:hAnsiTheme="minorHAnsi" w:cstheme="minorBidi"/>
      <w:b/>
      <w:bCs/>
      <w:lang w:eastAsia="en-US"/>
    </w:rPr>
  </w:style>
  <w:style w:type="paragraph" w:customStyle="1" w:styleId="text-justify">
    <w:name w:val="text-justify"/>
    <w:basedOn w:val="Normal"/>
    <w:qFormat/>
    <w:pPr>
      <w:spacing w:beforeAutospacing="1" w:afterAutospacing="1" w:line="240" w:lineRule="auto"/>
    </w:pPr>
    <w:rPr>
      <w:rFonts w:ascii="Times New Roman" w:eastAsia="Times New Roman" w:hAnsi="Times New Roman" w:cs="Times New Roman"/>
      <w:sz w:val="24"/>
      <w:szCs w:val="24"/>
      <w:lang w:eastAsia="fr-BE"/>
    </w:rPr>
  </w:style>
  <w:style w:type="paragraph" w:styleId="Sous-titre">
    <w:name w:val="Subtitle"/>
    <w:basedOn w:val="Normal"/>
    <w:next w:val="Normal"/>
    <w:uiPriority w:val="11"/>
    <w:qFormat/>
    <w:pPr>
      <w:spacing w:after="0" w:line="273" w:lineRule="auto"/>
    </w:pPr>
    <w:rPr>
      <w:rFonts w:ascii="Arial" w:eastAsiaTheme="majorEastAsia" w:hAnsi="Arial" w:cstheme="majorBidi"/>
      <w:b/>
      <w:iCs/>
      <w:caps/>
      <w:color w:val="ED7D31" w:themeColor="accent2"/>
      <w:sz w:val="44"/>
      <w:szCs w:val="24"/>
      <w:lang w:val="nl-BE" w:eastAsia="nl-BE" w:bidi="hi-IN"/>
    </w:rPr>
  </w:style>
  <w:style w:type="paragraph" w:customStyle="1" w:styleId="Contenudecadre">
    <w:name w:val="Contenu de cadre"/>
    <w:basedOn w:val="Normal"/>
    <w:qFormat/>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Policepardfaut"/>
  </w:style>
  <w:style w:type="character" w:styleId="Lienhypertexte">
    <w:name w:val="Hyperlink"/>
    <w:basedOn w:val="Policepardfaut"/>
    <w:uiPriority w:val="99"/>
    <w:unhideWhenUsed/>
    <w:rPr>
      <w:color w:val="0563C1" w:themeColor="hyperlink"/>
      <w:u w:val="single"/>
    </w:rPr>
  </w:style>
  <w:style w:type="character" w:styleId="Accentuation">
    <w:name w:val="Emphasis"/>
    <w:basedOn w:val="Policepardfau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2303419">
      <w:bodyDiv w:val="1"/>
      <w:marLeft w:val="0"/>
      <w:marRight w:val="0"/>
      <w:marTop w:val="0"/>
      <w:marBottom w:val="0"/>
      <w:divBdr>
        <w:top w:val="none" w:sz="0" w:space="0" w:color="auto"/>
        <w:left w:val="none" w:sz="0" w:space="0" w:color="auto"/>
        <w:bottom w:val="none" w:sz="0" w:space="0" w:color="auto"/>
        <w:right w:val="none" w:sz="0" w:space="0" w:color="auto"/>
      </w:divBdr>
    </w:div>
    <w:div w:id="1455362711">
      <w:bodyDiv w:val="1"/>
      <w:marLeft w:val="0"/>
      <w:marRight w:val="0"/>
      <w:marTop w:val="0"/>
      <w:marBottom w:val="0"/>
      <w:divBdr>
        <w:top w:val="none" w:sz="0" w:space="0" w:color="auto"/>
        <w:left w:val="none" w:sz="0" w:space="0" w:color="auto"/>
        <w:bottom w:val="none" w:sz="0" w:space="0" w:color="auto"/>
        <w:right w:val="none" w:sz="0" w:space="0" w:color="auto"/>
      </w:divBdr>
    </w:div>
    <w:div w:id="17012738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www.w-b-e.be/jobs-carriere/evolution-de-carriere/emplois-vacants/" TargetMode="External"/><Relationship Id="rId17"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hyperlink" Target="mailto:selection.promotion@w-b-e.be"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lection.promotion@w-b-e.be"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s://arldv.be/"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mailto:selection.promotion@w-b-e.be" TargetMode="External"/><Relationship Id="rId14" Type="http://schemas.openxmlformats.org/officeDocument/2006/relationships/header" Target="header1.xml"/><Relationship Id="rId22" Type="http://schemas.openxmlformats.org/officeDocument/2006/relationships/footer" Target="footer4.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Directeur</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1DA1046-4ED9-4C40-A218-331C5D2C2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4283</Words>
  <Characters>23557</Characters>
  <Application>Microsoft Office Word</Application>
  <DocSecurity>0</DocSecurity>
  <Lines>196</Lines>
  <Paragraphs>55</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27785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École Fondamentale annexée</dc:creator>
  <dc:description/>
  <cp:lastModifiedBy>ETNIC</cp:lastModifiedBy>
  <cp:revision>2</cp:revision>
  <cp:lastPrinted>2020-09-16T15:25:00Z</cp:lastPrinted>
  <dcterms:created xsi:type="dcterms:W3CDTF">2020-11-13T10:18:00Z</dcterms:created>
  <dcterms:modified xsi:type="dcterms:W3CDTF">2020-11-13T10:18:00Z</dcterms:modified>
  <dc:language>fr-BE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ETNIC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